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4ADDC">
      <w:pPr>
        <w:pStyle w:val="3"/>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cs="宋体" w:eastAsiaTheme="minorEastAsia"/>
          <w:b/>
          <w:bCs/>
          <w:color w:val="auto"/>
          <w:kern w:val="0"/>
          <w:sz w:val="36"/>
          <w:szCs w:val="36"/>
          <w:highlight w:val="none"/>
          <w:lang w:val="en-US" w:eastAsia="zh-CN" w:bidi="ar-SA"/>
        </w:rPr>
      </w:pPr>
      <w:r>
        <w:rPr>
          <w:rFonts w:hint="eastAsia" w:ascii="宋体" w:hAnsi="宋体" w:cs="宋体" w:eastAsiaTheme="minorEastAsia"/>
          <w:b/>
          <w:bCs/>
          <w:color w:val="auto"/>
          <w:kern w:val="0"/>
          <w:sz w:val="36"/>
          <w:szCs w:val="36"/>
          <w:highlight w:val="none"/>
          <w:lang w:val="en-US" w:eastAsia="zh-CN" w:bidi="ar-SA"/>
        </w:rPr>
        <w:t>厦门技师学院</w:t>
      </w:r>
      <w:r>
        <w:rPr>
          <w:rFonts w:hint="eastAsia" w:ascii="宋体" w:hAnsi="宋体" w:cs="宋体"/>
          <w:b/>
          <w:bCs/>
          <w:color w:val="auto"/>
          <w:kern w:val="0"/>
          <w:sz w:val="36"/>
          <w:szCs w:val="36"/>
          <w:highlight w:val="none"/>
          <w:lang w:val="en-US" w:eastAsia="zh-CN" w:bidi="ar-SA"/>
        </w:rPr>
        <w:t>信息安全风险评估</w:t>
      </w:r>
      <w:r>
        <w:rPr>
          <w:rFonts w:hint="eastAsia" w:ascii="宋体" w:hAnsi="宋体" w:cs="宋体" w:eastAsiaTheme="minorEastAsia"/>
          <w:b/>
          <w:bCs/>
          <w:color w:val="auto"/>
          <w:kern w:val="0"/>
          <w:sz w:val="36"/>
          <w:szCs w:val="36"/>
          <w:highlight w:val="none"/>
          <w:lang w:val="en-US" w:eastAsia="zh-CN" w:bidi="ar-SA"/>
        </w:rPr>
        <w:t>项目</w:t>
      </w:r>
      <w:r>
        <w:rPr>
          <w:rFonts w:hint="eastAsia" w:ascii="宋体" w:hAnsi="宋体" w:cs="宋体"/>
          <w:b/>
          <w:bCs/>
          <w:color w:val="auto"/>
          <w:kern w:val="0"/>
          <w:sz w:val="36"/>
          <w:szCs w:val="36"/>
          <w:highlight w:val="none"/>
          <w:lang w:val="en-US" w:eastAsia="zh-CN" w:bidi="ar-SA"/>
        </w:rPr>
        <w:t>服务内容及</w:t>
      </w:r>
      <w:r>
        <w:rPr>
          <w:rFonts w:hint="eastAsia" w:ascii="宋体" w:hAnsi="宋体" w:cs="宋体" w:eastAsiaTheme="minorEastAsia"/>
          <w:b/>
          <w:bCs/>
          <w:color w:val="auto"/>
          <w:kern w:val="0"/>
          <w:sz w:val="36"/>
          <w:szCs w:val="36"/>
          <w:highlight w:val="none"/>
          <w:lang w:val="en-US" w:eastAsia="zh-CN" w:bidi="ar-SA"/>
        </w:rPr>
        <w:t>报价表</w:t>
      </w:r>
    </w:p>
    <w:p w14:paraId="7BA1836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auto"/>
          <w:kern w:val="0"/>
          <w:sz w:val="24"/>
          <w:szCs w:val="24"/>
          <w:highlight w:val="none"/>
          <w:lang w:val="en-US" w:eastAsia="zh-CN" w:bidi="ar-SA"/>
        </w:rPr>
      </w:pPr>
    </w:p>
    <w:p w14:paraId="20E06D5F">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auto"/>
          <w:kern w:val="0"/>
          <w:sz w:val="24"/>
          <w:szCs w:val="24"/>
          <w:highlight w:val="none"/>
          <w:lang w:val="en-US" w:eastAsia="zh-CN" w:bidi="ar-SA"/>
        </w:rPr>
      </w:pPr>
    </w:p>
    <w:p w14:paraId="553F89FA">
      <w:pPr>
        <w:pStyle w:val="2"/>
        <w:keepNext w:val="0"/>
        <w:keepLines w:val="0"/>
        <w:pageBreakBefore w:val="0"/>
        <w:kinsoku/>
        <w:wordWrap/>
        <w:overflowPunct/>
        <w:topLinePunct w:val="0"/>
        <w:autoSpaceDE/>
        <w:autoSpaceDN/>
        <w:bidi w:val="0"/>
        <w:spacing w:line="360" w:lineRule="auto"/>
        <w:rPr>
          <w:rFonts w:hint="default" w:ascii="宋体" w:hAnsi="宋体" w:cs="宋体"/>
          <w:b/>
          <w:bCs/>
          <w:kern w:val="0"/>
          <w:sz w:val="24"/>
          <w:highlight w:val="none"/>
          <w:lang w:val="en-US" w:eastAsia="zh-CN"/>
        </w:rPr>
      </w:pPr>
      <w:r>
        <w:rPr>
          <w:rFonts w:hint="eastAsia" w:hAnsi="宋体" w:cs="宋体"/>
          <w:b/>
          <w:bCs/>
          <w:kern w:val="0"/>
          <w:sz w:val="24"/>
          <w:highlight w:val="none"/>
          <w:lang w:val="en-US" w:eastAsia="zh-CN"/>
        </w:rPr>
        <w:t>一</w:t>
      </w:r>
      <w:r>
        <w:rPr>
          <w:rFonts w:hint="eastAsia" w:ascii="宋体" w:hAnsi="宋体" w:cs="宋体"/>
          <w:b/>
          <w:bCs/>
          <w:kern w:val="0"/>
          <w:sz w:val="24"/>
          <w:highlight w:val="none"/>
          <w:lang w:val="en-US" w:eastAsia="zh-CN"/>
        </w:rPr>
        <w:t>、服务</w:t>
      </w:r>
      <w:r>
        <w:rPr>
          <w:rFonts w:hint="eastAsia" w:hAnsi="宋体" w:cs="宋体"/>
          <w:b/>
          <w:bCs/>
          <w:kern w:val="0"/>
          <w:sz w:val="24"/>
          <w:highlight w:val="none"/>
          <w:lang w:val="en-US" w:eastAsia="zh-CN"/>
        </w:rPr>
        <w:t>要求</w:t>
      </w:r>
    </w:p>
    <w:p w14:paraId="528E7109">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1.服务配套工具要求</w:t>
      </w:r>
    </w:p>
    <w:p w14:paraId="096D984C">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安全服务商在本次项目中须配置必要的安全服务工具，安全服务工具必须为国内自主原创产品，具有中华人民共和国国家版权局颁发的计算机软件著作权登记证书和公安部颁发的销售许可证。</w:t>
      </w:r>
    </w:p>
    <w:p w14:paraId="319B6626">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2.人员配备要求</w:t>
      </w:r>
    </w:p>
    <w:p w14:paraId="50426E6E">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安全服务商要在甲方所在地提供本地服务，项目团队至少由2人组成（含项目经理）。参与项目的所有人员全部必须需要提供有效的学历证明（毕业证、学位证）复印件等备查，若甲方发现项目参与人员学历不符合要求，甲方有权要求服务提供方更换项目团队人员并进行处罚。人员具体要求如下：</w:t>
      </w:r>
    </w:p>
    <w:p w14:paraId="184E9AD9">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1）项目经理：具备注册信息安全专业人员（CISP）资质，负责整个项目的管理工作，负责项目的沟通和协调。制定各项服务的实施计划，保障各项工作有序进行，高效完成客户分配的各项任务。对项目质量进行控制，对各项目组工作进行指导和过程控制。</w:t>
      </w:r>
    </w:p>
    <w:p w14:paraId="36A24136">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（2）现场实施人员：具备注册信息安全专业人员渗透测试方向（CISP-PTE）资质，熟悉主流操作系统、数据库、网络设备、安全设备的操作维护，具有渗透测试和漏洞挖掘分析能力。</w:t>
      </w:r>
    </w:p>
    <w:p w14:paraId="46D5DCE0">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3.服务案例要求</w:t>
      </w:r>
    </w:p>
    <w:p w14:paraId="51043FA8">
      <w:pPr>
        <w:pStyle w:val="2"/>
        <w:keepNext w:val="0"/>
        <w:keepLines w:val="0"/>
        <w:pageBreakBefore w:val="0"/>
        <w:kinsoku/>
        <w:wordWrap/>
        <w:overflowPunct/>
        <w:topLinePunct w:val="0"/>
        <w:autoSpaceDE/>
        <w:autoSpaceDN/>
        <w:bidi w:val="0"/>
        <w:spacing w:line="360" w:lineRule="auto"/>
        <w:ind w:firstLine="482" w:firstLineChars="200"/>
        <w:rPr>
          <w:rFonts w:hint="eastAsia" w:ascii="宋体" w:hAnsi="宋体" w:cs="宋体" w:eastAsiaTheme="minorEastAsia"/>
          <w:b/>
          <w:bCs/>
          <w:color w:val="auto"/>
          <w:kern w:val="0"/>
          <w:sz w:val="24"/>
          <w:szCs w:val="24"/>
          <w:highlight w:val="none"/>
          <w:lang w:val="en-US" w:eastAsia="zh-CN" w:bidi="ar-SA"/>
        </w:rPr>
      </w:pPr>
      <w:r>
        <w:rPr>
          <w:rFonts w:hint="eastAsia" w:hAnsi="宋体" w:cs="宋体"/>
          <w:b/>
          <w:bCs/>
          <w:color w:val="auto"/>
          <w:kern w:val="0"/>
          <w:sz w:val="24"/>
          <w:szCs w:val="24"/>
          <w:highlight w:val="none"/>
          <w:lang w:val="en-US" w:eastAsia="zh-CN" w:bidi="ar-SA"/>
        </w:rPr>
        <w:t>响应供应商</w:t>
      </w:r>
      <w:r>
        <w:rPr>
          <w:rFonts w:hint="eastAsia" w:ascii="宋体" w:hAnsi="宋体" w:cs="宋体" w:eastAsiaTheme="minorEastAsia"/>
          <w:b/>
          <w:bCs/>
          <w:color w:val="auto"/>
          <w:kern w:val="0"/>
          <w:sz w:val="24"/>
          <w:szCs w:val="24"/>
          <w:highlight w:val="none"/>
          <w:lang w:val="en-US" w:eastAsia="zh-CN" w:bidi="ar-SA"/>
        </w:rPr>
        <w:t>在近三年至少需开展2个同级别安全服务案例，需提供案例的合同扫描件及该合同附件技术规范书扫描件。</w:t>
      </w:r>
    </w:p>
    <w:p w14:paraId="70425E96">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r>
        <w:rPr>
          <w:rFonts w:hint="eastAsia" w:hAnsi="宋体" w:cs="宋体"/>
          <w:b/>
          <w:bCs/>
          <w:kern w:val="0"/>
          <w:sz w:val="24"/>
          <w:highlight w:val="none"/>
          <w:lang w:val="en-US" w:eastAsia="zh-CN"/>
        </w:rPr>
        <w:t>二</w:t>
      </w:r>
      <w:r>
        <w:rPr>
          <w:rFonts w:hint="eastAsia" w:ascii="宋体" w:hAnsi="宋体" w:cs="宋体"/>
          <w:b/>
          <w:bCs/>
          <w:kern w:val="0"/>
          <w:sz w:val="24"/>
          <w:highlight w:val="none"/>
          <w:lang w:val="en-US" w:eastAsia="zh-CN"/>
        </w:rPr>
        <w:t>、服务内容</w:t>
      </w:r>
    </w:p>
    <w:p w14:paraId="09430021">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本次服务内容为以下项目提供信息安全风险评估服务：</w:t>
      </w:r>
    </w:p>
    <w:p w14:paraId="21AF1D13">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1、项目1：厦门技师学院智慧宿舍集成管理系统，项目投资额58.8万元。</w:t>
      </w:r>
    </w:p>
    <w:p w14:paraId="1D2AA910">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2、项目2：厦门技师学院内部控制管理平台，项目投资额128.8万元。</w:t>
      </w:r>
    </w:p>
    <w:p w14:paraId="21B898AF">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本次服务包括但不仅限于以下5个阶段内容：即准备阶段、识别阶段、分析阶段、风险控制规划阶段和总结阶段。</w:t>
      </w:r>
    </w:p>
    <w:p w14:paraId="4F42868F">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1.准备阶段：该阶段主要完成确定评估范围、建立评估组织、确定评估工具、确定风险评估过程风险控制策略、编制风险评估方案、风险评估培训和评估对象备份等工作，确保风险评估能够按照计划顺利、有序实施，并且风险可控；</w:t>
      </w:r>
    </w:p>
    <w:p w14:paraId="0D8A0D04">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2.识别阶段：该阶段主要完成资产识别、威胁识别、脆弱性识别和安全措施识别等工作，为分析阶段提供依据；</w:t>
      </w:r>
    </w:p>
    <w:p w14:paraId="7771BFCA">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3.分析阶段：该阶段在识别的基础上进行大量整理并分析，进行资产分析、威胁分析、脆弱性分析、安全措施分析以及综合风险分析，对用户信息安全风险水平给出结论；</w:t>
      </w:r>
    </w:p>
    <w:p w14:paraId="7CC88CB1">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4.风险控制规划阶段：根据风险分析的结果，结合国家有关的法律、法规和行业要求，以及厦门技师学院的特殊需求和风险，总结出当前的安全需求；根据安全需求的轻重缓急以及相关标准，制定出适合的安全规划方案，为厦门技师学院今后的安全建设提供参考；</w:t>
      </w:r>
    </w:p>
    <w:p w14:paraId="08ED597B">
      <w:pPr>
        <w:pStyle w:val="2"/>
        <w:keepNext w:val="0"/>
        <w:keepLines w:val="0"/>
        <w:pageBreakBefore w:val="0"/>
        <w:kinsoku/>
        <w:wordWrap/>
        <w:overflowPunct/>
        <w:topLinePunct w:val="0"/>
        <w:autoSpaceDE/>
        <w:autoSpaceDN/>
        <w:bidi w:val="0"/>
        <w:spacing w:line="360" w:lineRule="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5.总结阶段：该阶段主要是对风险评估实施过程进行归纳总结，编制风险评估报告，并向甲方项目负责人进行汇报。</w:t>
      </w:r>
    </w:p>
    <w:p w14:paraId="47132A5C">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p>
    <w:p w14:paraId="35405357">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p>
    <w:p w14:paraId="55DAE58E">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p>
    <w:p w14:paraId="202E502B">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lang w:val="en-US" w:eastAsia="zh-CN"/>
        </w:rPr>
      </w:pPr>
    </w:p>
    <w:p w14:paraId="71CE1204">
      <w:pPr>
        <w:pStyle w:val="2"/>
        <w:keepNext w:val="0"/>
        <w:keepLines w:val="0"/>
        <w:pageBreakBefore w:val="0"/>
        <w:kinsoku/>
        <w:wordWrap/>
        <w:overflowPunct/>
        <w:topLinePunct w:val="0"/>
        <w:autoSpaceDE/>
        <w:autoSpaceDN/>
        <w:bidi w:val="0"/>
        <w:spacing w:line="360" w:lineRule="auto"/>
        <w:rPr>
          <w:rFonts w:hint="eastAsia" w:ascii="宋体" w:hAnsi="宋体" w:cs="宋体"/>
          <w:b/>
          <w:bCs/>
          <w:kern w:val="0"/>
          <w:sz w:val="24"/>
          <w:highlight w:val="none"/>
        </w:rPr>
      </w:pPr>
      <w:r>
        <w:rPr>
          <w:rFonts w:hint="eastAsia" w:hAnsi="宋体" w:cs="宋体"/>
          <w:b/>
          <w:bCs/>
          <w:kern w:val="0"/>
          <w:sz w:val="24"/>
          <w:highlight w:val="none"/>
          <w:lang w:val="en-US" w:eastAsia="zh-CN"/>
        </w:rPr>
        <w:t>三</w:t>
      </w:r>
      <w:bookmarkStart w:id="0" w:name="_GoBack"/>
      <w:bookmarkEnd w:id="0"/>
      <w:r>
        <w:rPr>
          <w:rFonts w:hint="eastAsia" w:ascii="宋体" w:hAnsi="宋体" w:cs="宋体"/>
          <w:b/>
          <w:bCs/>
          <w:kern w:val="0"/>
          <w:sz w:val="24"/>
          <w:highlight w:val="none"/>
          <w:lang w:val="en-US" w:eastAsia="zh-CN"/>
        </w:rPr>
        <w:t>、报价表</w:t>
      </w:r>
    </w:p>
    <w:tbl>
      <w:tblPr>
        <w:tblStyle w:val="8"/>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2"/>
        <w:gridCol w:w="3225"/>
        <w:gridCol w:w="5115"/>
        <w:gridCol w:w="4660"/>
      </w:tblGrid>
      <w:tr w14:paraId="6E4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392" w:type="dxa"/>
            <w:noWrap/>
            <w:tcMar>
              <w:top w:w="15" w:type="dxa"/>
              <w:left w:w="15" w:type="dxa"/>
              <w:right w:w="15" w:type="dxa"/>
            </w:tcMar>
            <w:vAlign w:val="bottom"/>
          </w:tcPr>
          <w:p w14:paraId="4DACDF8F">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序号</w:t>
            </w:r>
          </w:p>
        </w:tc>
        <w:tc>
          <w:tcPr>
            <w:tcW w:w="3225" w:type="dxa"/>
            <w:noWrap/>
            <w:tcMar>
              <w:top w:w="15" w:type="dxa"/>
              <w:left w:w="15" w:type="dxa"/>
              <w:right w:w="15" w:type="dxa"/>
            </w:tcMar>
            <w:vAlign w:val="bottom"/>
          </w:tcPr>
          <w:p w14:paraId="1578AE5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eastAsia="zh-CN"/>
              </w:rPr>
              <w:t>项目</w:t>
            </w:r>
            <w:r>
              <w:rPr>
                <w:rFonts w:hint="eastAsia" w:ascii="宋体" w:hAnsi="宋体" w:cs="宋体"/>
                <w:kern w:val="0"/>
                <w:sz w:val="24"/>
                <w:highlight w:val="none"/>
              </w:rPr>
              <w:t>名称</w:t>
            </w:r>
          </w:p>
        </w:tc>
        <w:tc>
          <w:tcPr>
            <w:tcW w:w="5115" w:type="dxa"/>
            <w:noWrap/>
            <w:tcMar>
              <w:top w:w="15" w:type="dxa"/>
              <w:left w:w="15" w:type="dxa"/>
              <w:right w:w="15" w:type="dxa"/>
            </w:tcMar>
            <w:vAlign w:val="bottom"/>
          </w:tcPr>
          <w:p w14:paraId="05840F51">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总报价（小写 单位：元）</w:t>
            </w:r>
          </w:p>
        </w:tc>
        <w:tc>
          <w:tcPr>
            <w:tcW w:w="4660" w:type="dxa"/>
            <w:noWrap/>
            <w:tcMar>
              <w:top w:w="15" w:type="dxa"/>
              <w:left w:w="15" w:type="dxa"/>
              <w:right w:w="15" w:type="dxa"/>
            </w:tcMar>
            <w:vAlign w:val="bottom"/>
          </w:tcPr>
          <w:p w14:paraId="047DE77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总报价（大写）</w:t>
            </w:r>
          </w:p>
        </w:tc>
      </w:tr>
      <w:tr w14:paraId="3E1B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392" w:type="dxa"/>
            <w:noWrap/>
            <w:tcMar>
              <w:top w:w="15" w:type="dxa"/>
              <w:left w:w="15" w:type="dxa"/>
              <w:right w:w="15" w:type="dxa"/>
            </w:tcMar>
            <w:vAlign w:val="center"/>
          </w:tcPr>
          <w:p w14:paraId="36182F3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p>
        </w:tc>
        <w:tc>
          <w:tcPr>
            <w:tcW w:w="3225" w:type="dxa"/>
            <w:noWrap w:val="0"/>
            <w:tcMar>
              <w:top w:w="15" w:type="dxa"/>
              <w:left w:w="15" w:type="dxa"/>
              <w:right w:w="15" w:type="dxa"/>
            </w:tcMar>
            <w:vAlign w:val="center"/>
          </w:tcPr>
          <w:p w14:paraId="15610F5F">
            <w:pPr>
              <w:keepNext w:val="0"/>
              <w:keepLines w:val="0"/>
              <w:pageBreakBefore w:val="0"/>
              <w:widowControl/>
              <w:shd w:val="clear" w:color="auto" w:fill="FFFFFF"/>
              <w:kinsoku/>
              <w:wordWrap/>
              <w:overflowPunct/>
              <w:topLinePunct w:val="0"/>
              <w:autoSpaceDE/>
              <w:autoSpaceDN/>
              <w:bidi w:val="0"/>
              <w:spacing w:line="360" w:lineRule="auto"/>
              <w:jc w:val="left"/>
              <w:rPr>
                <w:rFonts w:hint="eastAsia" w:ascii="宋体" w:hAnsi="宋体" w:cs="宋体"/>
                <w:kern w:val="0"/>
                <w:sz w:val="24"/>
                <w:highlight w:val="none"/>
                <w:lang w:eastAsia="zh-CN"/>
              </w:rPr>
            </w:pPr>
            <w:r>
              <w:rPr>
                <w:rFonts w:hint="eastAsia" w:ascii="宋体" w:hAnsi="宋体" w:cs="宋体"/>
                <w:kern w:val="0"/>
                <w:sz w:val="24"/>
                <w:highlight w:val="none"/>
                <w:lang w:eastAsia="zh-CN"/>
              </w:rPr>
              <w:t>信息安全风险评估</w:t>
            </w:r>
          </w:p>
        </w:tc>
        <w:tc>
          <w:tcPr>
            <w:tcW w:w="5115" w:type="dxa"/>
            <w:noWrap/>
            <w:tcMar>
              <w:top w:w="15" w:type="dxa"/>
              <w:left w:w="15" w:type="dxa"/>
              <w:right w:w="15" w:type="dxa"/>
            </w:tcMar>
            <w:vAlign w:val="center"/>
          </w:tcPr>
          <w:p w14:paraId="715E3FE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p>
        </w:tc>
        <w:tc>
          <w:tcPr>
            <w:tcW w:w="4660" w:type="dxa"/>
            <w:noWrap/>
            <w:tcMar>
              <w:top w:w="15" w:type="dxa"/>
              <w:left w:w="15" w:type="dxa"/>
              <w:right w:w="15" w:type="dxa"/>
            </w:tcMar>
            <w:vAlign w:val="center"/>
          </w:tcPr>
          <w:p w14:paraId="74090EC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kern w:val="0"/>
                <w:sz w:val="24"/>
                <w:highlight w:val="none"/>
              </w:rPr>
            </w:pPr>
          </w:p>
        </w:tc>
      </w:tr>
    </w:tbl>
    <w:p w14:paraId="5295C66B">
      <w:pPr>
        <w:keepNext w:val="0"/>
        <w:keepLines w:val="0"/>
        <w:pageBreakBefore w:val="0"/>
        <w:widowControl/>
        <w:shd w:val="clear" w:color="auto" w:fill="FFFFFF"/>
        <w:kinsoku/>
        <w:wordWrap/>
        <w:overflowPunct/>
        <w:topLinePunct w:val="0"/>
        <w:autoSpaceDE/>
        <w:autoSpaceDN/>
        <w:bidi w:val="0"/>
        <w:spacing w:line="360" w:lineRule="auto"/>
        <w:jc w:val="left"/>
        <w:rPr>
          <w:rFonts w:hint="eastAsia" w:ascii="宋体" w:hAnsi="宋体" w:cs="宋体"/>
          <w:kern w:val="0"/>
          <w:sz w:val="24"/>
          <w:highlight w:val="none"/>
        </w:rPr>
      </w:pPr>
    </w:p>
    <w:p w14:paraId="1405CA8F">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注：</w:t>
      </w:r>
    </w:p>
    <w:p w14:paraId="2B51944E">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1、本次报价控制价为：</w:t>
      </w:r>
      <w:r>
        <w:rPr>
          <w:rFonts w:hint="eastAsia" w:hAnsi="宋体" w:eastAsia="宋体" w:cs="宋体"/>
          <w:b/>
          <w:bCs/>
          <w:sz w:val="24"/>
          <w:szCs w:val="24"/>
          <w:lang w:val="en-US" w:eastAsia="zh-CN"/>
        </w:rPr>
        <w:t>26260</w:t>
      </w:r>
      <w:r>
        <w:rPr>
          <w:rFonts w:hint="default" w:hAnsi="宋体" w:eastAsia="宋体" w:cs="宋体"/>
          <w:b/>
          <w:bCs/>
          <w:sz w:val="24"/>
          <w:szCs w:val="24"/>
          <w:lang w:val="en-US" w:eastAsia="zh-CN"/>
        </w:rPr>
        <w:t>元。</w:t>
      </w:r>
    </w:p>
    <w:p w14:paraId="71822C39">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eastAsia" w:hAnsi="宋体" w:eastAsia="宋体" w:cs="宋体"/>
          <w:b/>
          <w:bCs/>
          <w:sz w:val="24"/>
          <w:szCs w:val="24"/>
          <w:lang w:val="en-US" w:eastAsia="zh-CN"/>
        </w:rPr>
        <w:t>2、</w:t>
      </w:r>
      <w:r>
        <w:rPr>
          <w:rFonts w:hint="default" w:hAnsi="宋体" w:eastAsia="宋体" w:cs="宋体"/>
          <w:b/>
          <w:bCs/>
          <w:sz w:val="24"/>
          <w:szCs w:val="24"/>
          <w:lang w:val="en-US" w:eastAsia="zh-CN"/>
        </w:rPr>
        <w:t xml:space="preserve">供应商应视为此次报价为此项目的所有费用，其他所有费用由供应商承担，请知悉！ </w:t>
      </w:r>
    </w:p>
    <w:p w14:paraId="3A57D54C">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供应商全称（加盖公章）：</w:t>
      </w:r>
    </w:p>
    <w:p w14:paraId="50E0AD2E">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联系人：</w:t>
      </w:r>
    </w:p>
    <w:p w14:paraId="14B29FFF">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联系方式：                                </w:t>
      </w:r>
    </w:p>
    <w:p w14:paraId="1B97D54A">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日   期：</w:t>
      </w:r>
    </w:p>
    <w:p w14:paraId="3963FDBA">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77307317"/>
    <w:rsid w:val="0A171CC6"/>
    <w:rsid w:val="0D4B73C9"/>
    <w:rsid w:val="0E303356"/>
    <w:rsid w:val="16816138"/>
    <w:rsid w:val="16D11030"/>
    <w:rsid w:val="19310BD3"/>
    <w:rsid w:val="1B762CF0"/>
    <w:rsid w:val="28CF2BF8"/>
    <w:rsid w:val="37572DE2"/>
    <w:rsid w:val="3E430CFF"/>
    <w:rsid w:val="3F7B6736"/>
    <w:rsid w:val="40EF2420"/>
    <w:rsid w:val="43AF4742"/>
    <w:rsid w:val="47867CB7"/>
    <w:rsid w:val="47B42327"/>
    <w:rsid w:val="47FD6DC1"/>
    <w:rsid w:val="49706721"/>
    <w:rsid w:val="590D3F61"/>
    <w:rsid w:val="601739D1"/>
    <w:rsid w:val="60C43183"/>
    <w:rsid w:val="667967BE"/>
    <w:rsid w:val="6870599E"/>
    <w:rsid w:val="6AFC5C0F"/>
    <w:rsid w:val="77307317"/>
    <w:rsid w:val="79863274"/>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0"/>
    </w:rPr>
  </w:style>
  <w:style w:type="paragraph" w:styleId="3">
    <w:name w:val="Body Text"/>
    <w:basedOn w:val="1"/>
    <w:autoRedefine/>
    <w:qFormat/>
    <w:uiPriority w:val="0"/>
    <w:rPr>
      <w:color w:val="FF0000"/>
    </w:rPr>
  </w:style>
  <w:style w:type="paragraph" w:styleId="4">
    <w:name w:val="Body Text Indent"/>
    <w:basedOn w:val="1"/>
    <w:next w:val="5"/>
    <w:autoRedefine/>
    <w:qFormat/>
    <w:uiPriority w:val="0"/>
    <w:pPr>
      <w:ind w:left="1078" w:hanging="1078" w:hangingChars="385"/>
    </w:pPr>
    <w:rPr>
      <w:sz w:val="28"/>
    </w:rPr>
  </w:style>
  <w:style w:type="paragraph" w:styleId="5">
    <w:name w:val="envelope return"/>
    <w:basedOn w:val="1"/>
    <w:autoRedefine/>
    <w:qFormat/>
    <w:uiPriority w:val="0"/>
    <w:pPr>
      <w:snapToGrid w:val="0"/>
    </w:pPr>
    <w:rPr>
      <w:rFonts w:ascii="Arial" w:hAnsi="Arial"/>
    </w:rPr>
  </w:style>
  <w:style w:type="paragraph" w:styleId="6">
    <w:name w:val="Body Text First Indent 2"/>
    <w:basedOn w:val="4"/>
    <w:next w:val="7"/>
    <w:autoRedefine/>
    <w:qFormat/>
    <w:uiPriority w:val="0"/>
    <w:pPr>
      <w:spacing w:after="120"/>
      <w:ind w:left="420" w:leftChars="200" w:firstLine="420"/>
    </w:pPr>
    <w:rPr>
      <w:rFonts w:ascii="Times New Roman" w:hAnsi="Times New Roman" w:eastAsia="宋体" w:cs="Times New Roman"/>
      <w:sz w:val="21"/>
    </w:rPr>
  </w:style>
  <w:style w:type="paragraph" w:customStyle="1" w:styleId="7">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1163</Words>
  <Characters>1192</Characters>
  <Lines>0</Lines>
  <Paragraphs>0</Paragraphs>
  <TotalTime>26</TotalTime>
  <ScaleCrop>false</ScaleCrop>
  <LinksUpToDate>false</LinksUpToDate>
  <CharactersWithSpaces>1367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2024-04-26T01:48:00Z</dcterms:created>
  <dc:creator>给我肉</dc:creator>
  <cp:lastModifiedBy>老师</cp:lastModifiedBy>
  <cp:lastPrinted>2024-09-24T01:23:38Z</cp:lastPrinted>
  <dcterms:modified xsi:type="dcterms:W3CDTF">2024-09-24T01:23:42Z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053455DF4DCE4523885A706AAE3AB7DF_13</vt:lpwstr>
  </property>
</Properties>
</file>