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AD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cs="宋体" w:eastAsiaTheme="minorEastAsia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厦门技师学院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信息系统项目监理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项目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服务内容及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36"/>
          <w:szCs w:val="36"/>
          <w:highlight w:val="none"/>
          <w:lang w:val="en-US" w:eastAsia="zh-CN" w:bidi="ar-SA"/>
        </w:rPr>
        <w:t>报价表</w:t>
      </w:r>
    </w:p>
    <w:p w14:paraId="20E06D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 w:eastAsia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3F89F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default" w:ascii="宋体" w:hAnsi="宋体" w:cs="宋体"/>
          <w:b/>
          <w:bCs/>
          <w:kern w:val="0"/>
          <w:sz w:val="24"/>
          <w:highlight w:val="none"/>
          <w:lang w:val="en-US" w:eastAsia="zh-CN"/>
        </w:rPr>
      </w:pPr>
      <w:r>
        <w:rPr>
          <w:rFonts w:hint="eastAsia" w:hAnsi="宋体" w:cs="宋体"/>
          <w:b/>
          <w:bCs/>
          <w:kern w:val="0"/>
          <w:sz w:val="24"/>
          <w:highlight w:val="none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、</w:t>
      </w:r>
      <w:r>
        <w:rPr>
          <w:rFonts w:hint="eastAsia" w:hAnsi="宋体" w:cs="宋体"/>
          <w:b/>
          <w:bCs/>
          <w:kern w:val="0"/>
          <w:sz w:val="24"/>
          <w:highlight w:val="none"/>
          <w:lang w:val="en-US" w:eastAsia="zh-CN"/>
        </w:rPr>
        <w:t>监理服务内容</w:t>
      </w:r>
    </w:p>
    <w:p w14:paraId="4B7151D4">
      <w:pPr>
        <w:spacing w:line="5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本次监理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内容为以下项目包括但不仅限于从当前建设工作阶段至验收阶段的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u w:val="none"/>
          <w:lang w:val="en-US" w:eastAsia="zh-CN"/>
        </w:rPr>
        <w:t>监理服务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66AADC33">
      <w:pPr>
        <w:numPr>
          <w:numId w:val="0"/>
        </w:numPr>
        <w:spacing w:line="54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项目1：厦门技师学院智慧宿舍集成管理系统，项目投资额58.8万元，目前将进入项目验收阶段。</w:t>
      </w:r>
    </w:p>
    <w:p w14:paraId="0C375C7F">
      <w:pPr>
        <w:numPr>
          <w:numId w:val="0"/>
        </w:numPr>
        <w:spacing w:line="5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项目2：厦门技师学院内部控制管理平台，项目投资额128.8万元，目前将进入项目测试阶段。</w:t>
      </w:r>
    </w:p>
    <w:p w14:paraId="34E7D7D6">
      <w:pPr>
        <w:rPr>
          <w:rFonts w:hint="eastAsia"/>
          <w:sz w:val="24"/>
          <w:szCs w:val="24"/>
          <w:lang w:eastAsia="zh-CN"/>
        </w:rPr>
      </w:pPr>
    </w:p>
    <w:tbl>
      <w:tblPr>
        <w:tblStyle w:val="9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90"/>
        <w:gridCol w:w="7030"/>
      </w:tblGrid>
      <w:tr w14:paraId="2B45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6" w:type="dxa"/>
            <w:shd w:val="clear" w:color="auto" w:fill="D9D9D9"/>
            <w:vAlign w:val="center"/>
          </w:tcPr>
          <w:p w14:paraId="5D8549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6172D1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项目阶段</w:t>
            </w:r>
          </w:p>
        </w:tc>
        <w:tc>
          <w:tcPr>
            <w:tcW w:w="7030" w:type="dxa"/>
            <w:shd w:val="clear" w:color="auto" w:fill="D9D9D9"/>
            <w:vAlign w:val="center"/>
          </w:tcPr>
          <w:p w14:paraId="68CBA4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监理工作内容</w:t>
            </w:r>
          </w:p>
        </w:tc>
      </w:tr>
      <w:tr w14:paraId="23C0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2D7E1C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90" w:type="dxa"/>
            <w:vAlign w:val="center"/>
          </w:tcPr>
          <w:p w14:paraId="0F334B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项目招标阶段</w:t>
            </w:r>
          </w:p>
        </w:tc>
        <w:tc>
          <w:tcPr>
            <w:tcW w:w="7030" w:type="dxa"/>
            <w:vAlign w:val="center"/>
          </w:tcPr>
          <w:p w14:paraId="6D6B0F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（1）为委托方提供技术咨询服务；</w:t>
            </w:r>
          </w:p>
          <w:p w14:paraId="6B78E0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（2）协助委托方审核修改建设项目招标文件需求。</w:t>
            </w:r>
          </w:p>
          <w:p w14:paraId="5391CEB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协助</w:t>
            </w:r>
            <w:r>
              <w:rPr>
                <w:rFonts w:ascii="宋体" w:hAnsi="宋体"/>
                <w:szCs w:val="21"/>
              </w:rPr>
              <w:t>委托方进行投标人资质审查。</w:t>
            </w:r>
          </w:p>
          <w:p w14:paraId="1A432E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（4）协助委托方进行合同评审，提出监理意见及评审报告，协助委托方进行合同谈判。</w:t>
            </w:r>
          </w:p>
        </w:tc>
      </w:tr>
      <w:tr w14:paraId="37DE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64F4C2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0" w:type="dxa"/>
            <w:vAlign w:val="center"/>
          </w:tcPr>
          <w:p w14:paraId="7A8A89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项目实施阶段</w:t>
            </w:r>
          </w:p>
        </w:tc>
        <w:tc>
          <w:tcPr>
            <w:tcW w:w="7030" w:type="dxa"/>
            <w:vAlign w:val="center"/>
          </w:tcPr>
          <w:p w14:paraId="3ED85AB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审核实施方案：开工前，组织实施方案的审核，内容包括需求和设计交底，了解项目需求、质量要求，依据设计招标文件，审核总体实施方案和有关的技术合同附件，以避免因设计失误造成项目实施的障碍；</w:t>
            </w:r>
          </w:p>
          <w:p w14:paraId="318B949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（2）审核项目技术相关设计方案的合法性、合理性、与建设方案的符合性；</w:t>
            </w:r>
          </w:p>
          <w:p w14:paraId="0FB6E1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（3）审核项目承建方实施人员：确认施工方提交的项目实施人员与实际工作人员的一致性及</w:t>
            </w:r>
            <w:r>
              <w:rPr>
                <w:rFonts w:ascii="宋体" w:hAnsi="宋体"/>
                <w:szCs w:val="21"/>
              </w:rPr>
              <w:t>其资质能力</w:t>
            </w:r>
            <w:r>
              <w:rPr>
                <w:rFonts w:hint="eastAsia" w:ascii="宋体" w:hAnsi="宋体"/>
                <w:szCs w:val="21"/>
              </w:rPr>
              <w:t>，如有变更，则要求叙述其原因并立即</w:t>
            </w:r>
            <w:r>
              <w:rPr>
                <w:rFonts w:ascii="宋体" w:hAnsi="宋体"/>
                <w:szCs w:val="21"/>
              </w:rPr>
              <w:t>向委托方报告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34FFB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（4）对施工环境进行检查，</w:t>
            </w:r>
            <w:r>
              <w:rPr>
                <w:rFonts w:ascii="宋体" w:hAnsi="宋体"/>
                <w:szCs w:val="21"/>
              </w:rPr>
              <w:t>监督承建单位</w:t>
            </w:r>
            <w:r>
              <w:rPr>
                <w:rFonts w:hint="eastAsia" w:ascii="宋体" w:hAnsi="宋体"/>
                <w:szCs w:val="21"/>
              </w:rPr>
              <w:t>开展</w:t>
            </w:r>
            <w:r>
              <w:rPr>
                <w:rFonts w:ascii="宋体" w:hAnsi="宋体"/>
                <w:szCs w:val="21"/>
              </w:rPr>
              <w:t>项目需求分析，督促承建单位和项目采购单位共同合作建立项目需求，</w:t>
            </w:r>
            <w:r>
              <w:rPr>
                <w:rFonts w:hint="eastAsia" w:ascii="宋体" w:hAnsi="宋体"/>
                <w:szCs w:val="21"/>
              </w:rPr>
              <w:t>审查</w:t>
            </w:r>
            <w:r>
              <w:rPr>
                <w:rFonts w:ascii="宋体" w:hAnsi="宋体"/>
                <w:szCs w:val="21"/>
              </w:rPr>
              <w:t>项目需求的正确性、完备性、准确性、可测试性和一致性。</w:t>
            </w:r>
          </w:p>
          <w:p w14:paraId="68FA17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</w:t>
            </w:r>
            <w:r>
              <w:rPr>
                <w:rFonts w:ascii="宋体" w:hAnsi="宋体"/>
                <w:szCs w:val="21"/>
              </w:rPr>
              <w:t>监督承建单位按照计划的要求开展软件详细设计</w:t>
            </w:r>
            <w:r>
              <w:rPr>
                <w:rFonts w:hint="eastAsia" w:ascii="宋体" w:hAnsi="宋体"/>
                <w:szCs w:val="21"/>
              </w:rPr>
              <w:t>和工程施工图设计</w:t>
            </w:r>
            <w:r>
              <w:rPr>
                <w:rFonts w:ascii="宋体" w:hAnsi="宋体"/>
                <w:szCs w:val="21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形成监理意见。</w:t>
            </w:r>
          </w:p>
          <w:p w14:paraId="79371B2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</w:t>
            </w:r>
            <w:r>
              <w:rPr>
                <w:rFonts w:ascii="宋体" w:hAnsi="宋体"/>
                <w:szCs w:val="21"/>
              </w:rPr>
              <w:t>在现场按合同或投标</w:t>
            </w:r>
            <w:r>
              <w:rPr>
                <w:rFonts w:hint="eastAsia" w:ascii="宋体" w:hAnsi="宋体"/>
                <w:szCs w:val="21"/>
              </w:rPr>
              <w:t>文件、技术规范和标准，</w:t>
            </w:r>
            <w:r>
              <w:rPr>
                <w:rFonts w:ascii="宋体" w:hAnsi="宋体"/>
                <w:szCs w:val="21"/>
              </w:rPr>
              <w:t>验收材料和设备，会同</w:t>
            </w:r>
            <w:r>
              <w:rPr>
                <w:rFonts w:hint="eastAsia" w:ascii="宋体" w:hAnsi="宋体"/>
                <w:szCs w:val="21"/>
              </w:rPr>
              <w:t>项目采购单位</w:t>
            </w:r>
            <w:r>
              <w:rPr>
                <w:rFonts w:ascii="宋体" w:hAnsi="宋体"/>
                <w:szCs w:val="21"/>
              </w:rPr>
              <w:t>对材料或设备的进场进行监督确认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F45BF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t>监督承建单位按照</w:t>
            </w:r>
            <w:r>
              <w:rPr>
                <w:rFonts w:hint="eastAsia" w:ascii="宋体" w:hAnsi="宋体"/>
                <w:szCs w:val="21"/>
              </w:rPr>
              <w:t>项目实施</w:t>
            </w:r>
            <w:r>
              <w:rPr>
                <w:rFonts w:ascii="宋体" w:hAnsi="宋体"/>
                <w:szCs w:val="21"/>
              </w:rPr>
              <w:t>计划的要求开展</w:t>
            </w:r>
            <w:r>
              <w:rPr>
                <w:rFonts w:hint="eastAsia" w:ascii="宋体" w:hAnsi="宋体"/>
                <w:szCs w:val="21"/>
              </w:rPr>
              <w:t>实施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14:paraId="096D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726" w:type="dxa"/>
            <w:vAlign w:val="center"/>
          </w:tcPr>
          <w:p w14:paraId="75E4F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90" w:type="dxa"/>
            <w:vAlign w:val="center"/>
          </w:tcPr>
          <w:p w14:paraId="7B6218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项目测试阶段</w:t>
            </w:r>
          </w:p>
        </w:tc>
        <w:tc>
          <w:tcPr>
            <w:tcW w:w="7030" w:type="dxa"/>
            <w:vAlign w:val="center"/>
          </w:tcPr>
          <w:p w14:paraId="1D39A07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ascii="宋体" w:hAnsi="宋体"/>
                <w:szCs w:val="21"/>
              </w:rPr>
              <w:t>监督承建单位按照测试需求和进度安排进行单元测试</w:t>
            </w:r>
            <w:r>
              <w:rPr>
                <w:rFonts w:hint="eastAsia" w:ascii="宋体" w:hAnsi="宋体"/>
                <w:szCs w:val="21"/>
              </w:rPr>
              <w:t>（软件类）或分部分项工程测试（工程类）。</w:t>
            </w:r>
          </w:p>
          <w:p w14:paraId="0CCFA2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ascii="宋体" w:hAnsi="宋体"/>
                <w:szCs w:val="21"/>
              </w:rPr>
              <w:t>检查承建单位测试过程中的错误记录及其改正。</w:t>
            </w:r>
            <w:r>
              <w:rPr>
                <w:rFonts w:hint="eastAsia" w:ascii="宋体" w:hAnsi="宋体"/>
                <w:szCs w:val="21"/>
              </w:rPr>
              <w:t>按照设计文件随工检验。</w:t>
            </w:r>
          </w:p>
          <w:p w14:paraId="35FAB4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（3）根据项目情况，监督承建单位进行现场测试，并完成测试报告，对测试问题进行记录并督促承建单位进行整改。</w:t>
            </w:r>
          </w:p>
        </w:tc>
      </w:tr>
      <w:tr w14:paraId="15E9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vAlign w:val="center"/>
          </w:tcPr>
          <w:p w14:paraId="474A69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0" w:type="dxa"/>
            <w:vAlign w:val="center"/>
          </w:tcPr>
          <w:p w14:paraId="1A0D36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项目验收阶段</w:t>
            </w:r>
          </w:p>
        </w:tc>
        <w:tc>
          <w:tcPr>
            <w:tcW w:w="7030" w:type="dxa"/>
            <w:vAlign w:val="center"/>
          </w:tcPr>
          <w:p w14:paraId="48F90A3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（1）对承建单位在实施阶段出现的问题的整改情况进行监督和复查；</w:t>
            </w:r>
          </w:p>
          <w:p w14:paraId="57DB22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（2）监督检查承建单位作好用户培训工作，检查项目各式用户文档；</w:t>
            </w:r>
          </w:p>
          <w:p w14:paraId="4876CB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（3）组织系统初步验收；</w:t>
            </w:r>
          </w:p>
          <w:p w14:paraId="410F45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（4）审查承建单位提交的竣工文档；</w:t>
            </w:r>
          </w:p>
          <w:p w14:paraId="50B11D1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（5）签署项目验收报告；</w:t>
            </w:r>
          </w:p>
          <w:p w14:paraId="37611A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（6）审核项目结算；</w:t>
            </w:r>
          </w:p>
          <w:p w14:paraId="74652F4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（7）审查承建单位阶段项目款支付申请，提出监理意见；</w:t>
            </w:r>
          </w:p>
          <w:p w14:paraId="508BD3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（8）向建设单位提交监理工作总结；</w:t>
            </w:r>
          </w:p>
          <w:p w14:paraId="56E737D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（9）将所有的监理材料汇总，编制监理业务手册，提交委托方；</w:t>
            </w:r>
          </w:p>
          <w:p w14:paraId="79134F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（10）系统验收完毕进入保修阶段的审核与签发移交证书；</w:t>
            </w:r>
          </w:p>
          <w:p w14:paraId="23F9F9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（11）协助委托方完成信息化主管部门要求的测评及验收工作。</w:t>
            </w:r>
          </w:p>
        </w:tc>
      </w:tr>
    </w:tbl>
    <w:p w14:paraId="72FDB09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</w:pPr>
    </w:p>
    <w:p w14:paraId="71CE120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cs="宋体"/>
          <w:b/>
          <w:bCs/>
          <w:kern w:val="0"/>
          <w:sz w:val="24"/>
          <w:highlight w:val="none"/>
        </w:rPr>
      </w:pPr>
      <w:r>
        <w:rPr>
          <w:rFonts w:hint="eastAsia" w:hAnsi="宋体" w:cs="宋体"/>
          <w:b/>
          <w:bCs/>
          <w:kern w:val="0"/>
          <w:sz w:val="24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lang w:val="en-US" w:eastAsia="zh-CN"/>
        </w:rPr>
        <w:t>、报价表</w:t>
      </w:r>
    </w:p>
    <w:tbl>
      <w:tblPr>
        <w:tblStyle w:val="9"/>
        <w:tblW w:w="14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3225"/>
        <w:gridCol w:w="5115"/>
        <w:gridCol w:w="4660"/>
      </w:tblGrid>
      <w:tr w14:paraId="6E43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9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CDF8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22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8AE5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511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40F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总报价（小写 单位：元）</w:t>
            </w:r>
          </w:p>
        </w:tc>
        <w:tc>
          <w:tcPr>
            <w:tcW w:w="466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DE775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总报价（大写）</w:t>
            </w:r>
          </w:p>
        </w:tc>
      </w:tr>
      <w:tr w14:paraId="3E1B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2F3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2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10F5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信息系统项目监理</w:t>
            </w:r>
          </w:p>
        </w:tc>
        <w:tc>
          <w:tcPr>
            <w:tcW w:w="51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E3FE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6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90EC6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</w:tbl>
    <w:p w14:paraId="5295C6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宋体" w:hAnsi="宋体" w:cs="宋体"/>
          <w:kern w:val="0"/>
          <w:sz w:val="24"/>
          <w:highlight w:val="none"/>
        </w:rPr>
      </w:pPr>
    </w:p>
    <w:p w14:paraId="1405CA8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>注：</w:t>
      </w:r>
    </w:p>
    <w:p w14:paraId="2B51944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>1、本次报价控制价为：</w:t>
      </w:r>
      <w:r>
        <w:rPr>
          <w:rFonts w:hint="eastAsia" w:hAnsi="宋体" w:eastAsia="宋体" w:cs="宋体"/>
          <w:b/>
          <w:bCs/>
          <w:sz w:val="24"/>
          <w:szCs w:val="24"/>
          <w:lang w:val="en-US" w:eastAsia="zh-CN"/>
        </w:rPr>
        <w:t>20270</w:t>
      </w: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>元。</w:t>
      </w:r>
    </w:p>
    <w:p w14:paraId="71822C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 xml:space="preserve">供应商应视为此次报价为此项目的所有费用，其他所有费用由供应商承担，请知悉！ </w:t>
      </w:r>
    </w:p>
    <w:p w14:paraId="3A57D54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 xml:space="preserve">                        供应商全称（加盖公章）：</w:t>
      </w:r>
    </w:p>
    <w:p w14:paraId="50E0AD2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联系人：</w:t>
      </w:r>
    </w:p>
    <w:p w14:paraId="14B29F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联系方式：                                </w:t>
      </w:r>
      <w:bookmarkStart w:id="0" w:name="_GoBack"/>
      <w:bookmarkEnd w:id="0"/>
    </w:p>
    <w:p w14:paraId="1B97D54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日   期：</w:t>
      </w:r>
    </w:p>
    <w:p w14:paraId="3963FDB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baseline"/>
        <w:rPr>
          <w:rFonts w:hint="default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zI2ZWQ0ODY3NmRhZmRjYTc5NmJiYzA2Y2M1YmMifQ=="/>
  </w:docVars>
  <w:rsids>
    <w:rsidRoot w:val="77307317"/>
    <w:rsid w:val="0A171CC6"/>
    <w:rsid w:val="0E303356"/>
    <w:rsid w:val="12DC130A"/>
    <w:rsid w:val="16816138"/>
    <w:rsid w:val="16D11030"/>
    <w:rsid w:val="19310BD3"/>
    <w:rsid w:val="1B762CF0"/>
    <w:rsid w:val="28CF2BF8"/>
    <w:rsid w:val="37572DE2"/>
    <w:rsid w:val="3E430CFF"/>
    <w:rsid w:val="3F7B6736"/>
    <w:rsid w:val="40EF2420"/>
    <w:rsid w:val="43AF4742"/>
    <w:rsid w:val="47B42327"/>
    <w:rsid w:val="47FD6DC1"/>
    <w:rsid w:val="49706721"/>
    <w:rsid w:val="4DCC4B7A"/>
    <w:rsid w:val="590D3F61"/>
    <w:rsid w:val="60C43183"/>
    <w:rsid w:val="667967BE"/>
    <w:rsid w:val="6870599E"/>
    <w:rsid w:val="6AFC5C0F"/>
    <w:rsid w:val="77307317"/>
    <w:rsid w:val="79863274"/>
    <w:rsid w:val="7D45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rPr>
      <w:color w:val="FF0000"/>
    </w:rPr>
  </w:style>
  <w:style w:type="paragraph" w:styleId="4">
    <w:name w:val="Body Text Indent"/>
    <w:basedOn w:val="1"/>
    <w:next w:val="5"/>
    <w:autoRedefine/>
    <w:qFormat/>
    <w:uiPriority w:val="0"/>
    <w:pPr>
      <w:ind w:left="1078" w:hanging="1078" w:hangingChars="385"/>
    </w:pPr>
    <w:rPr>
      <w:sz w:val="28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Body Text First Indent 2"/>
    <w:basedOn w:val="4"/>
    <w:next w:val="8"/>
    <w:autoRedefine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 w:val="21"/>
    </w:rPr>
  </w:style>
  <w:style w:type="paragraph" w:customStyle="1" w:styleId="8">
    <w:name w:val="正文1"/>
    <w:autoRedefine/>
    <w:qFormat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Times New Roman" w:cs="Times New Roman"/>
      <w:sz w:val="24"/>
      <w:szCs w:val="22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1192</Characters>
  <Lines>0</Lines>
  <Paragraphs>0</Paragraphs>
  <TotalTime>0</TotalTime>
  <ScaleCrop>false</ScaleCrop>
  <LinksUpToDate>false</LinksUpToDate>
  <CharactersWithSpaces>1367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2024-04-26T01:48:00Z</dcterms:created>
  <dc:creator>给我肉</dc:creator>
  <cp:lastModifiedBy>老师</cp:lastModifiedBy>
  <dcterms:modified xsi:type="dcterms:W3CDTF">2024-09-24T01:23:01Z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053455DF4DCE4523885A706AAE3AB7DF_13</vt:lpwstr>
  </property>
</Properties>
</file>