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spacing w:val="-8"/>
          <w:sz w:val="36"/>
          <w:szCs w:val="36"/>
        </w:rPr>
        <w:t>厦门技师学院</w:t>
      </w:r>
      <w:r>
        <w:rPr>
          <w:rFonts w:hint="eastAsia" w:ascii="仿宋_GB2312" w:hAnsi="宋体" w:eastAsia="仿宋_GB2312" w:cs="宋体"/>
          <w:b/>
          <w:spacing w:val="-8"/>
          <w:sz w:val="36"/>
          <w:szCs w:val="36"/>
          <w:lang w:eastAsia="zh-CN"/>
        </w:rPr>
        <w:t>202</w:t>
      </w:r>
      <w:r>
        <w:rPr>
          <w:rFonts w:hint="eastAsia" w:ascii="仿宋_GB2312" w:hAnsi="宋体" w:eastAsia="仿宋_GB2312" w:cs="宋体"/>
          <w:b/>
          <w:spacing w:val="-8"/>
          <w:sz w:val="36"/>
          <w:szCs w:val="36"/>
          <w:lang w:val="en-US" w:eastAsia="zh-CN"/>
        </w:rPr>
        <w:t>4</w:t>
      </w:r>
      <w:r>
        <w:rPr>
          <w:rFonts w:hint="eastAsia" w:ascii="仿宋_GB2312" w:hAnsi="宋体" w:eastAsia="仿宋_GB2312" w:cs="宋体"/>
          <w:b/>
          <w:spacing w:val="-8"/>
          <w:sz w:val="36"/>
          <w:szCs w:val="36"/>
          <w:lang w:eastAsia="zh-CN"/>
        </w:rPr>
        <w:t>年度学院新媒体推广项目</w:t>
      </w:r>
      <w:r>
        <w:rPr>
          <w:rFonts w:hint="eastAsia" w:ascii="仿宋_GB2312" w:hAnsi="宋体" w:eastAsia="仿宋_GB2312" w:cs="宋体"/>
          <w:b/>
          <w:spacing w:val="-8"/>
          <w:sz w:val="36"/>
          <w:szCs w:val="36"/>
        </w:rPr>
        <w:t>报价表</w:t>
      </w:r>
    </w:p>
    <w:p>
      <w:pPr>
        <w:numPr>
          <w:ilvl w:val="0"/>
          <w:numId w:val="0"/>
        </w:numPr>
        <w:spacing w:line="360" w:lineRule="auto"/>
        <w:rPr>
          <w:rFonts w:ascii="宋体" w:hAnsi="宋体"/>
          <w:b/>
          <w:sz w:val="24"/>
          <w:szCs w:val="24"/>
        </w:rPr>
      </w:pPr>
    </w:p>
    <w:tbl>
      <w:tblPr>
        <w:tblStyle w:val="1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028"/>
        <w:gridCol w:w="2082"/>
        <w:gridCol w:w="7244"/>
        <w:gridCol w:w="527"/>
        <w:gridCol w:w="635"/>
        <w:gridCol w:w="635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  <w:jc w:val="center"/>
        </w:trPr>
        <w:tc>
          <w:tcPr>
            <w:tcW w:w="463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推广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363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投放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渠道</w:t>
            </w:r>
          </w:p>
        </w:tc>
        <w:tc>
          <w:tcPr>
            <w:tcW w:w="3292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内容（投放要求）：</w:t>
            </w:r>
          </w:p>
          <w:p>
            <w:pPr>
              <w:rPr>
                <w:rFonts w:hint="eastAsia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  <w:lang w:val="en-US" w:eastAsia="zh-CN"/>
              </w:rPr>
              <w:t>（1）</w:t>
            </w:r>
            <w:r>
              <w:rPr>
                <w:rFonts w:hint="eastAsia" w:eastAsia="宋体"/>
                <w:kern w:val="21"/>
                <w:sz w:val="24"/>
                <w:szCs w:val="24"/>
                <w:lang w:val="en-US" w:eastAsia="zh-CN"/>
              </w:rPr>
              <w:t>结合学院实际情况进行活动策划、软文采编、视频采集、视频编辑、美术设计等并将作品进行投放推广。</w:t>
            </w:r>
          </w:p>
          <w:p>
            <w:pPr>
              <w:rPr>
                <w:rFonts w:hint="eastAsia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  <w:lang w:val="en-US" w:eastAsia="zh-CN"/>
              </w:rPr>
              <w:t>（2）</w:t>
            </w:r>
            <w:bookmarkStart w:id="0" w:name="_GoBack"/>
            <w:bookmarkEnd w:id="0"/>
            <w:r>
              <w:rPr>
                <w:rFonts w:hint="eastAsia" w:eastAsia="宋体"/>
                <w:kern w:val="21"/>
                <w:sz w:val="24"/>
                <w:szCs w:val="24"/>
                <w:lang w:val="en-US" w:eastAsia="zh-CN"/>
              </w:rPr>
              <w:t>评论管理：及时删除含隐私信息、谩骂、恶意诋毁等内容的评论内容；收集互动信息和私信，根据学院要求确认回复，确保时效（原则上不多于1天）。</w:t>
            </w:r>
          </w:p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21"/>
                <w:sz w:val="24"/>
                <w:szCs w:val="24"/>
                <w:lang w:val="en-US" w:eastAsia="zh-CN"/>
              </w:rPr>
              <w:t>（3）本项目费用包含投放平台费用、内容采编生产费用、策划执行费用等，具体明细及要求如下：</w:t>
            </w:r>
          </w:p>
        </w:tc>
        <w:tc>
          <w:tcPr>
            <w:tcW w:w="186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24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224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245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463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公众号平台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投放</w:t>
            </w:r>
          </w:p>
        </w:tc>
        <w:tc>
          <w:tcPr>
            <w:tcW w:w="363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微信公众号</w:t>
            </w:r>
          </w:p>
        </w:tc>
        <w:tc>
          <w:tcPr>
            <w:tcW w:w="3292" w:type="pct"/>
            <w:gridSpan w:val="2"/>
            <w:vAlign w:val="center"/>
          </w:tcPr>
          <w:p>
            <w:r>
              <w:rPr>
                <w:rFonts w:hint="eastAsia" w:eastAsia="宋体"/>
                <w:kern w:val="21"/>
                <w:sz w:val="24"/>
                <w:szCs w:val="24"/>
                <w:lang w:val="en-US" w:eastAsia="zh-CN"/>
              </w:rPr>
              <w:t>策划与招生相关的系列专题不少于3个，投放在学院官方微信公众号和合作方自带的媒体平台上；在</w:t>
            </w:r>
            <w:r>
              <w:rPr>
                <w:rFonts w:hint="eastAsia" w:eastAsia="宋体"/>
                <w:kern w:val="21"/>
                <w:sz w:val="24"/>
                <w:szCs w:val="24"/>
                <w:lang w:eastAsia="zh-CN"/>
              </w:rPr>
              <w:t>推广</w:t>
            </w:r>
            <w:r>
              <w:rPr>
                <w:rFonts w:hint="eastAsia" w:eastAsia="宋体"/>
                <w:kern w:val="21"/>
                <w:sz w:val="24"/>
                <w:szCs w:val="24"/>
                <w:lang w:val="en-US" w:eastAsia="zh-CN"/>
              </w:rPr>
              <w:t>上，采写不少于2篇的招生微信推文，投放在</w:t>
            </w:r>
            <w:r>
              <w:rPr>
                <w:rFonts w:hint="eastAsia" w:eastAsia="宋体"/>
                <w:kern w:val="21"/>
                <w:sz w:val="24"/>
                <w:szCs w:val="24"/>
              </w:rPr>
              <w:t>部分中央、省、市媒体平台和</w:t>
            </w:r>
            <w:r>
              <w:rPr>
                <w:rFonts w:hint="eastAsia" w:eastAsia="宋体"/>
                <w:kern w:val="21"/>
                <w:sz w:val="24"/>
                <w:szCs w:val="24"/>
                <w:lang w:eastAsia="zh-CN"/>
              </w:rPr>
              <w:t>影响力较大</w:t>
            </w:r>
            <w:r>
              <w:rPr>
                <w:rFonts w:hint="eastAsia" w:eastAsia="宋体"/>
                <w:kern w:val="21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eastAsia="宋体"/>
                <w:kern w:val="21"/>
                <w:sz w:val="24"/>
                <w:szCs w:val="24"/>
              </w:rPr>
              <w:t>WCI不低于</w:t>
            </w:r>
            <w:r>
              <w:rPr>
                <w:rFonts w:hint="eastAsia" w:eastAsia="宋体"/>
                <w:kern w:val="2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eastAsia="宋体"/>
                <w:kern w:val="21"/>
                <w:sz w:val="24"/>
                <w:szCs w:val="24"/>
              </w:rPr>
              <w:t>00</w:t>
            </w:r>
            <w:r>
              <w:rPr>
                <w:rFonts w:hint="eastAsia" w:eastAsia="宋体"/>
                <w:kern w:val="21"/>
                <w:sz w:val="24"/>
                <w:szCs w:val="24"/>
                <w:lang w:eastAsia="zh-CN"/>
              </w:rPr>
              <w:t>）的</w:t>
            </w:r>
            <w:r>
              <w:rPr>
                <w:rFonts w:hint="eastAsia" w:eastAsia="宋体"/>
                <w:kern w:val="21"/>
                <w:sz w:val="24"/>
                <w:szCs w:val="24"/>
              </w:rPr>
              <w:t>自媒体账号</w:t>
            </w:r>
            <w:r>
              <w:rPr>
                <w:rFonts w:hint="eastAsia" w:eastAsia="宋体"/>
                <w:kern w:val="21"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宋体"/>
                <w:kern w:val="21"/>
                <w:sz w:val="24"/>
                <w:szCs w:val="24"/>
              </w:rPr>
              <w:t>不包括合作方自带媒体账号</w:t>
            </w:r>
            <w:r>
              <w:rPr>
                <w:rFonts w:hint="eastAsia" w:eastAsia="宋体"/>
                <w:kern w:val="21"/>
                <w:sz w:val="24"/>
                <w:szCs w:val="24"/>
                <w:lang w:eastAsia="zh-CN"/>
              </w:rPr>
              <w:t>；推广</w:t>
            </w:r>
            <w:r>
              <w:rPr>
                <w:rFonts w:hint="eastAsia" w:eastAsia="宋体"/>
                <w:kern w:val="21"/>
                <w:sz w:val="24"/>
                <w:szCs w:val="24"/>
                <w:lang w:val="en-US" w:eastAsia="zh-CN"/>
              </w:rPr>
              <w:t>次数不少于1</w:t>
            </w:r>
            <w:r>
              <w:rPr>
                <w:rFonts w:hint="eastAsia"/>
                <w:kern w:val="21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eastAsia="宋体"/>
                <w:kern w:val="21"/>
                <w:sz w:val="24"/>
                <w:szCs w:val="24"/>
                <w:lang w:val="en-US" w:eastAsia="zh-CN"/>
              </w:rPr>
              <w:t>次，其中8</w:t>
            </w:r>
            <w:r>
              <w:rPr>
                <w:rFonts w:hint="eastAsia" w:eastAsia="宋体"/>
                <w:kern w:val="21"/>
                <w:sz w:val="24"/>
                <w:szCs w:val="24"/>
              </w:rPr>
              <w:t>0%以上为头条推广</w:t>
            </w:r>
            <w:r>
              <w:rPr>
                <w:rFonts w:hint="eastAsia" w:eastAsia="宋体"/>
                <w:kern w:val="21"/>
                <w:sz w:val="24"/>
                <w:szCs w:val="24"/>
                <w:lang w:val="en-US" w:eastAsia="zh-CN"/>
              </w:rPr>
              <w:t>；推广地区</w:t>
            </w:r>
            <w:r>
              <w:rPr>
                <w:rFonts w:hint="eastAsia" w:eastAsia="宋体"/>
                <w:kern w:val="21"/>
                <w:sz w:val="24"/>
                <w:szCs w:val="24"/>
              </w:rPr>
              <w:t>包括福建厦门、泉州、漳州、莆田、三明、</w:t>
            </w:r>
            <w:r>
              <w:rPr>
                <w:rFonts w:hint="eastAsia" w:eastAsia="宋体"/>
                <w:kern w:val="21"/>
                <w:sz w:val="24"/>
                <w:szCs w:val="24"/>
                <w:lang w:val="en-US" w:eastAsia="zh-CN"/>
              </w:rPr>
              <w:t>宁德、</w:t>
            </w:r>
            <w:r>
              <w:rPr>
                <w:rFonts w:hint="eastAsia" w:eastAsia="宋体"/>
                <w:kern w:val="21"/>
                <w:sz w:val="24"/>
                <w:szCs w:val="24"/>
              </w:rPr>
              <w:t>南平、龙岩，</w:t>
            </w:r>
            <w:r>
              <w:rPr>
                <w:rFonts w:hint="eastAsia" w:eastAsia="宋体"/>
                <w:kern w:val="21"/>
                <w:sz w:val="24"/>
                <w:szCs w:val="24"/>
                <w:lang w:val="en-US" w:eastAsia="zh-CN"/>
              </w:rPr>
              <w:t>以及</w:t>
            </w:r>
            <w:r>
              <w:rPr>
                <w:rFonts w:hint="eastAsia" w:eastAsia="宋体"/>
                <w:kern w:val="21"/>
                <w:sz w:val="24"/>
                <w:szCs w:val="24"/>
              </w:rPr>
              <w:t>江西赣州</w:t>
            </w:r>
            <w:r>
              <w:rPr>
                <w:rFonts w:hint="eastAsia" w:eastAsia="宋体"/>
                <w:kern w:val="21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宋体"/>
                <w:kern w:val="21"/>
                <w:sz w:val="24"/>
                <w:szCs w:val="24"/>
                <w:lang w:val="en-US" w:eastAsia="zh-CN"/>
              </w:rPr>
              <w:t>上饶、鄱阳</w:t>
            </w:r>
            <w:r>
              <w:rPr>
                <w:rFonts w:hint="eastAsia" w:eastAsia="宋体"/>
                <w:kern w:val="21"/>
                <w:sz w:val="24"/>
                <w:szCs w:val="24"/>
              </w:rPr>
              <w:t>等地</w:t>
            </w:r>
            <w:r>
              <w:rPr>
                <w:rFonts w:hint="eastAsia" w:eastAsia="宋体"/>
                <w:kern w:val="21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86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24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4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463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新闻源网站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投放</w:t>
            </w:r>
          </w:p>
        </w:tc>
        <w:tc>
          <w:tcPr>
            <w:tcW w:w="363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网站</w:t>
            </w:r>
          </w:p>
        </w:tc>
        <w:tc>
          <w:tcPr>
            <w:tcW w:w="3292" w:type="pct"/>
            <w:gridSpan w:val="2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采写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的软文，须同时投放在官方新闻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网站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86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24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4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463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抖音短视频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投放</w:t>
            </w:r>
          </w:p>
        </w:tc>
        <w:tc>
          <w:tcPr>
            <w:tcW w:w="363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抖音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及视频号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平台</w:t>
            </w:r>
          </w:p>
        </w:tc>
        <w:tc>
          <w:tcPr>
            <w:tcW w:w="3292" w:type="pct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策划、导演、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拍摄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有创意的招生宣传片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1部（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视频时长不少于3分钟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在4-6月，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于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抖音平台、短视频平台为至少8个视频进行投流，每个被投流的抖音短视频曝光量须达到10万次，每个被投流的视频号播放量须达到5000次。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精准投放目标区域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福建、江西地区、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15-18岁、36-45岁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对教育、招考感兴趣的人群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86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24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4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463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其他多媒体作品</w:t>
            </w:r>
          </w:p>
        </w:tc>
        <w:tc>
          <w:tcPr>
            <w:tcW w:w="363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292" w:type="pct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21"/>
                <w:sz w:val="24"/>
                <w:szCs w:val="24"/>
                <w:lang w:val="en-US" w:eastAsia="zh-CN"/>
              </w:rPr>
              <w:t>需制作一个招生简章的长图版本，用于各类渠道的传播；同时，将制作一个招生H5（招生手册），供线上宣传使用。</w:t>
            </w:r>
          </w:p>
        </w:tc>
        <w:tc>
          <w:tcPr>
            <w:tcW w:w="186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4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463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其他项</w:t>
            </w:r>
          </w:p>
        </w:tc>
        <w:tc>
          <w:tcPr>
            <w:tcW w:w="363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92" w:type="pct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kern w:val="21"/>
                <w:sz w:val="24"/>
                <w:szCs w:val="24"/>
              </w:rPr>
              <w:t>结合响应供应商所具有的资源优势提供有助于学院宣传推广</w:t>
            </w:r>
            <w:r>
              <w:rPr>
                <w:rFonts w:hint="eastAsia"/>
                <w:kern w:val="21"/>
                <w:sz w:val="24"/>
                <w:szCs w:val="24"/>
                <w:lang w:eastAsia="zh-CN"/>
              </w:rPr>
              <w:t>的免费</w:t>
            </w:r>
            <w:r>
              <w:rPr>
                <w:rFonts w:hint="eastAsia"/>
                <w:kern w:val="21"/>
                <w:sz w:val="24"/>
                <w:szCs w:val="24"/>
              </w:rPr>
              <w:t>增值服务</w:t>
            </w:r>
          </w:p>
        </w:tc>
        <w:tc>
          <w:tcPr>
            <w:tcW w:w="186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24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4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561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总报价（小写 单位：元）</w:t>
            </w:r>
          </w:p>
        </w:tc>
        <w:tc>
          <w:tcPr>
            <w:tcW w:w="3438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561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总报价（大写）</w:t>
            </w:r>
          </w:p>
        </w:tc>
        <w:tc>
          <w:tcPr>
            <w:tcW w:w="3438" w:type="pct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注：1、本次报价控制价为：</w:t>
      </w:r>
      <w:r>
        <w:rPr>
          <w:rFonts w:hint="eastAsia"/>
          <w:sz w:val="28"/>
          <w:szCs w:val="28"/>
          <w:lang w:val="en-US" w:eastAsia="zh-CN"/>
        </w:rPr>
        <w:t>300</w:t>
      </w:r>
      <w:r>
        <w:rPr>
          <w:rFonts w:hint="eastAsia"/>
          <w:sz w:val="28"/>
          <w:szCs w:val="28"/>
        </w:rPr>
        <w:t>000元。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2、供应商应视为此次报价为此项目的所有费用，后期不再增加相关费用，请知悉！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采购响应供应商全称（加盖公章）：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联系人：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联系方式：</w:t>
      </w:r>
    </w:p>
    <w:p>
      <w:pPr>
        <w:jc w:val="center"/>
      </w:pPr>
      <w:r>
        <w:rPr>
          <w:rFonts w:hint="eastAsia"/>
          <w:sz w:val="28"/>
          <w:szCs w:val="28"/>
        </w:rPr>
        <w:t xml:space="preserve">                      日   期：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NzI2ZWQ0ODY3NmRhZmRjYTc5NmJiYzA2Y2M1YmMifQ=="/>
  </w:docVars>
  <w:rsids>
    <w:rsidRoot w:val="00087E93"/>
    <w:rsid w:val="000463A5"/>
    <w:rsid w:val="00087E93"/>
    <w:rsid w:val="007F0A1D"/>
    <w:rsid w:val="007F3D4E"/>
    <w:rsid w:val="02F8687B"/>
    <w:rsid w:val="0619721E"/>
    <w:rsid w:val="061A534F"/>
    <w:rsid w:val="08430068"/>
    <w:rsid w:val="085C23E9"/>
    <w:rsid w:val="0BDC6D23"/>
    <w:rsid w:val="0BFA42E1"/>
    <w:rsid w:val="110F2777"/>
    <w:rsid w:val="11852B55"/>
    <w:rsid w:val="1C6568C1"/>
    <w:rsid w:val="21DA7B43"/>
    <w:rsid w:val="26E6441B"/>
    <w:rsid w:val="28DEBE62"/>
    <w:rsid w:val="34C914C8"/>
    <w:rsid w:val="4AAF0221"/>
    <w:rsid w:val="4B026563"/>
    <w:rsid w:val="4D31057D"/>
    <w:rsid w:val="527B6621"/>
    <w:rsid w:val="5680618A"/>
    <w:rsid w:val="5A8825F2"/>
    <w:rsid w:val="5D5351D3"/>
    <w:rsid w:val="5E4E4E2C"/>
    <w:rsid w:val="614A5588"/>
    <w:rsid w:val="62DD3760"/>
    <w:rsid w:val="62DF1E17"/>
    <w:rsid w:val="630E47D2"/>
    <w:rsid w:val="66360349"/>
    <w:rsid w:val="6AC975E8"/>
    <w:rsid w:val="6ED35660"/>
    <w:rsid w:val="701820A1"/>
    <w:rsid w:val="74807E52"/>
    <w:rsid w:val="76CB40D8"/>
    <w:rsid w:val="77C116C3"/>
    <w:rsid w:val="7841148D"/>
    <w:rsid w:val="79067EEF"/>
    <w:rsid w:val="79F669DD"/>
    <w:rsid w:val="7A3C20BC"/>
    <w:rsid w:val="7B537186"/>
    <w:rsid w:val="EAFDD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100" w:after="90"/>
      <w:outlineLvl w:val="0"/>
    </w:pPr>
    <w:rPr>
      <w:rFonts w:ascii="宋体" w:hAnsi="宋体"/>
      <w:b/>
      <w:kern w:val="44"/>
      <w:sz w:val="36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napToGrid w:val="0"/>
      <w:spacing w:before="240" w:after="240"/>
      <w:outlineLvl w:val="1"/>
    </w:pPr>
    <w:rPr>
      <w:rFonts w:ascii="宋体" w:hAnsi="宋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140" w:after="140"/>
      <w:outlineLvl w:val="2"/>
    </w:pPr>
    <w:rPr>
      <w:rFonts w:ascii="宋体" w:hAnsi="宋体"/>
      <w:b/>
      <w:sz w:val="30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"/>
    <w:basedOn w:val="1"/>
    <w:next w:val="1"/>
    <w:autoRedefine/>
    <w:qFormat/>
    <w:uiPriority w:val="0"/>
    <w:rPr>
      <w:szCs w:val="20"/>
    </w:rPr>
  </w:style>
  <w:style w:type="paragraph" w:styleId="7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8">
    <w:name w:val="Plain Text"/>
    <w:basedOn w:val="1"/>
    <w:autoRedefine/>
    <w:qFormat/>
    <w:uiPriority w:val="99"/>
    <w:rPr>
      <w:rFonts w:ascii="宋体" w:hAnsi="Courier New"/>
    </w:rPr>
  </w:style>
  <w:style w:type="paragraph" w:styleId="9">
    <w:name w:val="footer"/>
    <w:basedOn w:val="1"/>
    <w:link w:val="2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rPr>
      <w:sz w:val="24"/>
    </w:rPr>
  </w:style>
  <w:style w:type="paragraph" w:styleId="12">
    <w:name w:val="Body Text First Indent 2"/>
    <w:basedOn w:val="7"/>
    <w:autoRedefine/>
    <w:qFormat/>
    <w:uiPriority w:val="0"/>
    <w:pPr>
      <w:ind w:firstLine="420" w:firstLineChars="200"/>
    </w:p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一级条标题"/>
    <w:basedOn w:val="17"/>
    <w:next w:val="18"/>
    <w:autoRedefine/>
    <w:qFormat/>
    <w:uiPriority w:val="0"/>
    <w:pPr>
      <w:spacing w:line="240" w:lineRule="auto"/>
      <w:ind w:left="420"/>
      <w:outlineLvl w:val="2"/>
    </w:pPr>
  </w:style>
  <w:style w:type="paragraph" w:customStyle="1" w:styleId="17">
    <w:name w:val="章标题"/>
    <w:next w:val="1"/>
    <w:autoRedefine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18">
    <w:name w:val="段"/>
    <w:next w:val="1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19">
    <w:name w:val="表格文字"/>
    <w:basedOn w:val="1"/>
    <w:autoRedefine/>
    <w:qFormat/>
    <w:uiPriority w:val="0"/>
    <w:rPr>
      <w:szCs w:val="24"/>
    </w:rPr>
  </w:style>
  <w:style w:type="character" w:customStyle="1" w:styleId="20">
    <w:name w:val="页眉 Char"/>
    <w:basedOn w:val="15"/>
    <w:link w:val="10"/>
    <w:autoRedefine/>
    <w:qFormat/>
    <w:uiPriority w:val="0"/>
    <w:rPr>
      <w:kern w:val="2"/>
      <w:sz w:val="18"/>
      <w:szCs w:val="18"/>
    </w:rPr>
  </w:style>
  <w:style w:type="character" w:customStyle="1" w:styleId="21">
    <w:name w:val="页脚 Char"/>
    <w:basedOn w:val="15"/>
    <w:link w:val="9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1853</Words>
  <Characters>1938</Characters>
  <Lines>13</Lines>
  <Paragraphs>3</Paragraphs>
  <TotalTime>19</TotalTime>
  <ScaleCrop>false</ScaleCrop>
  <LinksUpToDate>false</LinksUpToDate>
  <CharactersWithSpaces>2116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2021-03-24T02:33:00Z</dcterms:created>
  <dc:creator>Administrator</dc:creator>
  <cp:lastModifiedBy>老师</cp:lastModifiedBy>
  <dcterms:modified xsi:type="dcterms:W3CDTF">2024-05-10T00:55:56Z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9DD88E1715EC4A9796FCCE0B97D0E3D7_13</vt:lpwstr>
  </property>
</Properties>
</file>