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车辆工程系配套资料、专用工具</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3</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车辆工程系配套资料、专用工具</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3</w:t>
      </w:r>
      <w:r>
        <w:rPr>
          <w:rFonts w:hint="eastAsia" w:ascii="宋体" w:hAnsi="宋体"/>
          <w:sz w:val="24"/>
          <w:highlight w:val="yellow"/>
          <w:u w:val="single"/>
        </w:rPr>
        <w:t>月</w:t>
      </w:r>
      <w:r>
        <w:rPr>
          <w:rFonts w:hint="eastAsia" w:ascii="宋体" w:hAnsi="宋体"/>
          <w:sz w:val="24"/>
          <w:highlight w:val="yellow"/>
          <w:u w:val="single"/>
          <w:lang w:val="en-US" w:eastAsia="zh-CN"/>
        </w:rPr>
        <w:t>11</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项目内容联系人：朱老师 0592-7760068</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车辆工程系配套资料、专用工具</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10.000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车辆工程系配套资料、专用工具</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7、本项目最终报价请精确到个位。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1840720"/>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highlight w:val="yellow"/>
          <w:lang w:val="en-US" w:eastAsia="zh-CN"/>
        </w:rPr>
        <w:t>货物的品牌、规格型号、</w:t>
      </w:r>
      <w:r>
        <w:rPr>
          <w:rFonts w:hint="eastAsia" w:ascii="宋体" w:hAnsi="宋体"/>
          <w:sz w:val="24"/>
          <w:highlight w:val="yellow"/>
        </w:rPr>
        <w:t>单价及总价</w:t>
      </w:r>
      <w:r>
        <w:rPr>
          <w:rFonts w:hint="eastAsia" w:ascii="宋体" w:hAnsi="宋体"/>
          <w:sz w:val="24"/>
        </w:rPr>
        <w:t>；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3578333"/>
      <w:bookmarkStart w:id="12" w:name="_Toc361840721"/>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3578334"/>
      <w:bookmarkStart w:id="15" w:name="_Toc415216386"/>
      <w:bookmarkStart w:id="16" w:name="_Toc361840722"/>
      <w:bookmarkStart w:id="17" w:name="_Toc415216389"/>
      <w:bookmarkStart w:id="18" w:name="_Toc361840725"/>
      <w:bookmarkStart w:id="19" w:name="_Toc36357833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877486"/>
      <w:bookmarkStart w:id="22" w:name="_Toc169944033"/>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5</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284535"/>
      <w:bookmarkStart w:id="25" w:name="_Toc532149370"/>
      <w:bookmarkStart w:id="26" w:name="_Toc398504591"/>
      <w:bookmarkStart w:id="27" w:name="_Toc431190639"/>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bookmarkStart w:id="28" w:name="_GoBack"/>
            <w:bookmarkEnd w:id="28"/>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911DC7"/>
    <w:rsid w:val="4C2F7A07"/>
    <w:rsid w:val="4C30355F"/>
    <w:rsid w:val="4C5A3A74"/>
    <w:rsid w:val="4C9C2151"/>
    <w:rsid w:val="4CCA63CF"/>
    <w:rsid w:val="4CD74607"/>
    <w:rsid w:val="4D0E6F7A"/>
    <w:rsid w:val="4D5E2C35"/>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0</TotalTime>
  <ScaleCrop>false</ScaleCrop>
  <LinksUpToDate>false</LinksUpToDate>
  <CharactersWithSpaces>4161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2021-03-03T02:42:17Z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