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学生宿舍（和居楼</w:t>
      </w:r>
      <w:r>
        <w:rPr>
          <w:rFonts w:hint="eastAsia" w:ascii="宋体" w:hAnsi="宋体"/>
          <w:b/>
          <w:bCs/>
          <w:sz w:val="32"/>
          <w:szCs w:val="20"/>
          <w:u w:val="single"/>
          <w:lang w:val="en-US" w:eastAsia="zh-CN"/>
        </w:rPr>
        <w:t>1-5号</w:t>
      </w:r>
      <w:r>
        <w:rPr>
          <w:rFonts w:hint="eastAsia" w:ascii="宋体" w:hAnsi="宋体"/>
          <w:b/>
          <w:bCs/>
          <w:sz w:val="32"/>
          <w:szCs w:val="20"/>
          <w:u w:val="single"/>
          <w:lang w:eastAsia="zh-CN"/>
        </w:rPr>
        <w:t>）阳台门更换</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20年</w:t>
      </w:r>
      <w:r>
        <w:rPr>
          <w:rFonts w:hint="eastAsia" w:hAnsi="宋体"/>
          <w:b/>
          <w:sz w:val="32"/>
          <w:lang w:val="en-US" w:eastAsia="zh-CN"/>
        </w:rPr>
        <w:t>9</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学生宿舍（和居楼</w:t>
      </w:r>
      <w:r>
        <w:rPr>
          <w:rFonts w:hint="eastAsia" w:ascii="宋体" w:hAnsi="宋体"/>
          <w:b/>
          <w:bCs/>
          <w:sz w:val="24"/>
          <w:u w:val="single"/>
          <w:lang w:val="en-US" w:eastAsia="zh-CN"/>
        </w:rPr>
        <w:t>1-5号</w:t>
      </w:r>
      <w:r>
        <w:rPr>
          <w:rFonts w:hint="eastAsia" w:ascii="宋体" w:hAnsi="宋体"/>
          <w:b/>
          <w:bCs/>
          <w:sz w:val="24"/>
          <w:u w:val="single"/>
          <w:lang w:eastAsia="zh-CN"/>
        </w:rPr>
        <w:t>）阳台门更换</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20</w:t>
      </w:r>
      <w:r>
        <w:rPr>
          <w:rFonts w:hint="eastAsia" w:ascii="宋体" w:hAnsi="宋体"/>
          <w:sz w:val="24"/>
          <w:highlight w:val="yellow"/>
          <w:u w:val="single"/>
        </w:rPr>
        <w:t>年</w:t>
      </w:r>
      <w:r>
        <w:rPr>
          <w:rFonts w:hint="eastAsia" w:ascii="宋体" w:hAnsi="宋体"/>
          <w:sz w:val="24"/>
          <w:highlight w:val="yellow"/>
          <w:u w:val="single"/>
          <w:lang w:val="en-US" w:eastAsia="zh-CN"/>
        </w:rPr>
        <w:t>10</w:t>
      </w:r>
      <w:r>
        <w:rPr>
          <w:rFonts w:hint="eastAsia" w:ascii="宋体" w:hAnsi="宋体"/>
          <w:sz w:val="24"/>
          <w:highlight w:val="yellow"/>
          <w:u w:val="single"/>
        </w:rPr>
        <w:t>月1</w:t>
      </w:r>
      <w:r>
        <w:rPr>
          <w:rFonts w:hint="eastAsia" w:ascii="宋体" w:hAnsi="宋体"/>
          <w:sz w:val="24"/>
          <w:highlight w:val="yellow"/>
          <w:u w:val="single"/>
          <w:lang w:val="en-US" w:eastAsia="zh-CN"/>
        </w:rPr>
        <w:t>3</w:t>
      </w:r>
      <w:r>
        <w:rPr>
          <w:rFonts w:hint="eastAsia" w:ascii="宋体" w:hAnsi="宋体"/>
          <w:sz w:val="24"/>
          <w:highlight w:val="yellow"/>
          <w:u w:val="single"/>
        </w:rPr>
        <w:t>日][</w:t>
      </w:r>
      <w:r>
        <w:rPr>
          <w:rFonts w:hint="eastAsia" w:ascii="宋体" w:hAnsi="宋体"/>
          <w:sz w:val="24"/>
          <w:highlight w:val="yellow"/>
          <w:u w:val="single"/>
          <w:lang w:val="en-US" w:eastAsia="zh-CN"/>
        </w:rPr>
        <w:t>16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w:t>
      </w:r>
      <w:r>
        <w:rPr>
          <w:rFonts w:hint="eastAsia" w:ascii="宋体" w:hAnsi="宋体"/>
          <w:sz w:val="24"/>
          <w:highlight w:val="yellow"/>
        </w:rPr>
        <w:t>密封并加盖</w:t>
      </w:r>
      <w:r>
        <w:rPr>
          <w:rFonts w:hint="eastAsia" w:ascii="宋体" w:hAnsi="宋体"/>
          <w:sz w:val="24"/>
        </w:rPr>
        <w:t>采购响应</w:t>
      </w:r>
      <w:r>
        <w:rPr>
          <w:rFonts w:hint="eastAsia" w:ascii="宋体" w:hAnsi="宋体" w:cs="Arial"/>
          <w:sz w:val="24"/>
        </w:rPr>
        <w:t>供应商</w:t>
      </w:r>
      <w:r>
        <w:rPr>
          <w:rFonts w:hint="eastAsia" w:ascii="宋体" w:hAnsi="宋体" w:cs="Arial"/>
          <w:sz w:val="24"/>
          <w:highlight w:val="yellow"/>
        </w:rPr>
        <w:t>公章</w:t>
      </w:r>
      <w:r>
        <w:rPr>
          <w:rFonts w:hint="eastAsia" w:ascii="宋体" w:hAnsi="宋体" w:cs="Arial"/>
          <w:sz w:val="24"/>
        </w:rPr>
        <w:t>，</w:t>
      </w:r>
      <w:r>
        <w:rPr>
          <w:rFonts w:hint="eastAsia" w:ascii="宋体" w:hAnsi="宋体"/>
          <w:sz w:val="24"/>
        </w:rPr>
        <w:t>逾期递交的或不符合规定的采购响应文件（未密封并加盖公章）将被拒绝。</w:t>
      </w:r>
    </w:p>
    <w:p>
      <w:pPr>
        <w:spacing w:line="460" w:lineRule="exact"/>
        <w:ind w:firstLine="360" w:firstLineChars="150"/>
        <w:rPr>
          <w:rFonts w:hint="eastAsia" w:ascii="宋体" w:hAnsi="宋体" w:eastAsia="宋体"/>
          <w:sz w:val="24"/>
          <w:lang w:eastAsia="zh-CN"/>
        </w:rPr>
      </w:pPr>
      <w:r>
        <w:rPr>
          <w:rFonts w:hint="eastAsia" w:ascii="宋体" w:hAnsi="宋体"/>
          <w:sz w:val="24"/>
        </w:rPr>
        <w:t>项目经办人及联系方式：李老师17850162230或0592-776015</w:t>
      </w:r>
      <w:r>
        <w:rPr>
          <w:rFonts w:hint="eastAsia" w:ascii="宋体" w:hAnsi="宋体"/>
          <w:sz w:val="24"/>
          <w:lang w:val="en-US" w:eastAsia="zh-CN"/>
        </w:rPr>
        <w:t>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73916345"/>
      <w:bookmarkStart w:id="3"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ascii="宋体" w:hAnsi="宋体"/>
          <w:b/>
          <w:color w:val="000000"/>
          <w:sz w:val="32"/>
          <w:szCs w:val="32"/>
        </w:rPr>
      </w:pPr>
      <w:r>
        <w:rPr>
          <w:rFonts w:hint="eastAsia" w:ascii="宋体" w:hAnsi="宋体"/>
          <w:b/>
          <w:color w:val="000000"/>
          <w:sz w:val="32"/>
          <w:szCs w:val="32"/>
          <w:lang w:eastAsia="zh-CN"/>
        </w:rPr>
        <w:t>和居楼</w:t>
      </w:r>
      <w:r>
        <w:rPr>
          <w:rFonts w:hint="eastAsia" w:ascii="宋体" w:hAnsi="宋体"/>
          <w:b/>
          <w:color w:val="000000"/>
          <w:sz w:val="32"/>
          <w:szCs w:val="32"/>
          <w:lang w:val="en-US" w:eastAsia="zh-CN"/>
        </w:rPr>
        <w:t>1-5号</w:t>
      </w:r>
      <w:r>
        <w:rPr>
          <w:rFonts w:hint="eastAsia" w:ascii="宋体" w:hAnsi="宋体"/>
          <w:b/>
          <w:color w:val="000000"/>
          <w:sz w:val="32"/>
          <w:szCs w:val="32"/>
          <w:lang w:eastAsia="zh-CN"/>
        </w:rPr>
        <w:t>学生宿舍阳台门更换</w:t>
      </w:r>
      <w:r>
        <w:rPr>
          <w:rFonts w:hint="eastAsia" w:ascii="宋体" w:hAnsi="宋体"/>
          <w:b/>
          <w:color w:val="000000"/>
          <w:sz w:val="32"/>
          <w:szCs w:val="32"/>
        </w:rPr>
        <w:t>报价一览表</w:t>
      </w:r>
      <w:bookmarkEnd w:id="2"/>
      <w:bookmarkEnd w:id="3"/>
    </w:p>
    <w:p>
      <w:pPr>
        <w:tabs>
          <w:tab w:val="left" w:pos="2775"/>
        </w:tabs>
        <w:spacing w:line="460" w:lineRule="exact"/>
        <w:jc w:val="center"/>
        <w:rPr>
          <w:rFonts w:ascii="宋体" w:hAnsi="宋体"/>
          <w:sz w:val="24"/>
        </w:rPr>
      </w:pPr>
    </w:p>
    <w:p>
      <w:pPr>
        <w:tabs>
          <w:tab w:val="left" w:pos="2775"/>
        </w:tabs>
        <w:spacing w:line="460" w:lineRule="exact"/>
        <w:jc w:val="left"/>
        <w:rPr>
          <w:rFonts w:ascii="宋体" w:hAnsi="宋体"/>
          <w:sz w:val="24"/>
        </w:rPr>
      </w:pPr>
      <w:r>
        <w:rPr>
          <w:rFonts w:hint="eastAsia" w:ascii="宋体" w:hAnsi="宋体"/>
          <w:sz w:val="24"/>
        </w:rPr>
        <w:t>项目名称：</w:t>
      </w:r>
      <w:r>
        <w:rPr>
          <w:rFonts w:hint="eastAsia" w:ascii="宋体" w:hAnsi="宋体"/>
          <w:sz w:val="24"/>
          <w:lang w:eastAsia="zh-CN"/>
        </w:rPr>
        <w:t>学生宿舍（和居楼</w:t>
      </w:r>
      <w:r>
        <w:rPr>
          <w:rFonts w:hint="eastAsia" w:ascii="宋体" w:hAnsi="宋体"/>
          <w:sz w:val="24"/>
          <w:lang w:val="en-US" w:eastAsia="zh-CN"/>
        </w:rPr>
        <w:t>1-5号</w:t>
      </w:r>
      <w:r>
        <w:rPr>
          <w:rFonts w:hint="eastAsia" w:ascii="宋体" w:hAnsi="宋体"/>
          <w:sz w:val="24"/>
          <w:lang w:eastAsia="zh-CN"/>
        </w:rPr>
        <w:t>）阳台门更换</w:t>
      </w:r>
      <w:r>
        <w:rPr>
          <w:rFonts w:hint="eastAsia" w:ascii="宋体" w:hAnsi="宋体"/>
          <w:sz w:val="24"/>
        </w:rPr>
        <w:t xml:space="preserve">                  货币单位：人民币</w:t>
      </w:r>
    </w:p>
    <w:tbl>
      <w:tblPr>
        <w:tblStyle w:val="8"/>
        <w:tblW w:w="10129" w:type="dxa"/>
        <w:tblInd w:w="0" w:type="dxa"/>
        <w:tblLayout w:type="fixed"/>
        <w:tblCellMar>
          <w:top w:w="0" w:type="dxa"/>
          <w:left w:w="108" w:type="dxa"/>
          <w:bottom w:w="0" w:type="dxa"/>
          <w:right w:w="108" w:type="dxa"/>
        </w:tblCellMar>
      </w:tblPr>
      <w:tblGrid>
        <w:gridCol w:w="252"/>
        <w:gridCol w:w="565"/>
        <w:gridCol w:w="716"/>
        <w:gridCol w:w="4384"/>
        <w:gridCol w:w="1616"/>
        <w:gridCol w:w="853"/>
        <w:gridCol w:w="877"/>
        <w:gridCol w:w="866"/>
      </w:tblGrid>
      <w:tr>
        <w:tblPrEx>
          <w:tblCellMar>
            <w:top w:w="0" w:type="dxa"/>
            <w:left w:w="108" w:type="dxa"/>
            <w:bottom w:w="0" w:type="dxa"/>
            <w:right w:w="108" w:type="dxa"/>
          </w:tblCellMar>
        </w:tblPrEx>
        <w:trPr>
          <w:trHeight w:val="497" w:hRule="atLeast"/>
        </w:trPr>
        <w:tc>
          <w:tcPr>
            <w:tcW w:w="252" w:type="dxa"/>
            <w:tcBorders>
              <w:top w:val="single" w:color="auto" w:sz="4" w:space="0"/>
              <w:left w:val="single" w:color="auto" w:sz="4" w:space="0"/>
              <w:bottom w:val="single" w:color="auto" w:sz="4" w:space="0"/>
              <w:right w:val="single" w:color="auto" w:sz="4" w:space="0"/>
            </w:tcBorders>
            <w:vAlign w:val="center"/>
          </w:tcPr>
          <w:p>
            <w:pPr>
              <w:spacing w:line="440" w:lineRule="exact"/>
              <w:ind w:left="-140" w:leftChars="-50" w:right="-140" w:rightChars="-50"/>
              <w:jc w:val="center"/>
              <w:rPr>
                <w:rFonts w:ascii="宋体" w:hAnsi="宋体"/>
                <w:sz w:val="24"/>
              </w:rPr>
            </w:pPr>
            <w:r>
              <w:rPr>
                <w:rFonts w:hint="eastAsia" w:ascii="宋体" w:hAnsi="宋体"/>
                <w:sz w:val="24"/>
              </w:rPr>
              <w:t>序号</w:t>
            </w:r>
          </w:p>
        </w:tc>
        <w:tc>
          <w:tcPr>
            <w:tcW w:w="565" w:type="dxa"/>
            <w:tcBorders>
              <w:top w:val="single" w:color="auto" w:sz="4" w:space="0"/>
              <w:left w:val="single" w:color="auto" w:sz="4" w:space="0"/>
              <w:bottom w:val="single" w:color="auto" w:sz="4" w:space="0"/>
              <w:right w:val="single" w:color="auto" w:sz="4" w:space="0"/>
            </w:tcBorders>
            <w:vAlign w:val="center"/>
          </w:tcPr>
          <w:p>
            <w:pPr>
              <w:spacing w:line="440" w:lineRule="exact"/>
              <w:ind w:left="-140" w:leftChars="-50" w:right="-140" w:rightChars="-50"/>
              <w:jc w:val="center"/>
              <w:rPr>
                <w:rFonts w:hint="eastAsia" w:ascii="宋体" w:hAnsi="宋体"/>
                <w:sz w:val="24"/>
              </w:rPr>
            </w:pPr>
            <w:r>
              <w:rPr>
                <w:rFonts w:hint="eastAsia" w:ascii="宋体" w:hAnsi="宋体"/>
                <w:sz w:val="24"/>
              </w:rPr>
              <w:t>物品</w:t>
            </w:r>
          </w:p>
          <w:p>
            <w:pPr>
              <w:spacing w:line="440" w:lineRule="exact"/>
              <w:ind w:left="-140" w:leftChars="-50" w:right="-140" w:rightChars="-50"/>
              <w:jc w:val="center"/>
              <w:rPr>
                <w:rFonts w:ascii="宋体" w:hAnsi="宋体"/>
                <w:sz w:val="24"/>
              </w:rPr>
            </w:pPr>
            <w:r>
              <w:rPr>
                <w:rFonts w:hint="eastAsia" w:ascii="宋体" w:hAnsi="宋体"/>
                <w:sz w:val="24"/>
              </w:rPr>
              <w:t>名称</w:t>
            </w:r>
          </w:p>
        </w:tc>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ind w:right="-140" w:rightChars="-50"/>
              <w:jc w:val="center"/>
              <w:rPr>
                <w:rFonts w:hint="eastAsia" w:ascii="宋体" w:hAnsi="宋体"/>
                <w:sz w:val="24"/>
              </w:rPr>
            </w:pPr>
            <w:r>
              <w:rPr>
                <w:rFonts w:hint="eastAsia" w:ascii="宋体" w:hAnsi="宋体"/>
                <w:sz w:val="24"/>
              </w:rPr>
              <w:t>型号</w:t>
            </w:r>
          </w:p>
          <w:p>
            <w:pPr>
              <w:spacing w:line="440" w:lineRule="exact"/>
              <w:ind w:right="-140" w:rightChars="-50"/>
              <w:jc w:val="center"/>
              <w:rPr>
                <w:rFonts w:ascii="宋体" w:hAnsi="宋体"/>
                <w:sz w:val="24"/>
              </w:rPr>
            </w:pPr>
            <w:r>
              <w:rPr>
                <w:rFonts w:hint="eastAsia" w:ascii="宋体" w:hAnsi="宋体"/>
                <w:sz w:val="24"/>
              </w:rPr>
              <w:t>规格</w:t>
            </w:r>
          </w:p>
        </w:tc>
        <w:tc>
          <w:tcPr>
            <w:tcW w:w="4384" w:type="dxa"/>
            <w:tcBorders>
              <w:top w:val="single" w:color="auto" w:sz="4" w:space="0"/>
              <w:left w:val="single" w:color="auto" w:sz="4" w:space="0"/>
              <w:bottom w:val="single" w:color="auto" w:sz="4" w:space="0"/>
              <w:right w:val="single" w:color="auto" w:sz="4" w:space="0"/>
            </w:tcBorders>
            <w:vAlign w:val="center"/>
          </w:tcPr>
          <w:p>
            <w:pPr>
              <w:spacing w:line="440" w:lineRule="exact"/>
              <w:ind w:right="-140" w:rightChars="-50"/>
              <w:jc w:val="center"/>
              <w:rPr>
                <w:rFonts w:ascii="宋体" w:hAnsi="宋体"/>
                <w:sz w:val="24"/>
              </w:rPr>
            </w:pPr>
            <w:r>
              <w:rPr>
                <w:rFonts w:hint="eastAsia" w:ascii="宋体" w:hAnsi="宋体"/>
                <w:sz w:val="24"/>
              </w:rPr>
              <w:t>主要技术参数</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sz w:val="24"/>
                <w:lang w:val="en-US" w:eastAsia="zh-CN"/>
              </w:rPr>
              <w:t>图片</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单价（元）</w:t>
            </w: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数量（扇）</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总价</w:t>
            </w:r>
          </w:p>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（元）</w:t>
            </w:r>
          </w:p>
        </w:tc>
      </w:tr>
      <w:tr>
        <w:tblPrEx>
          <w:tblCellMar>
            <w:top w:w="0" w:type="dxa"/>
            <w:left w:w="108" w:type="dxa"/>
            <w:bottom w:w="0" w:type="dxa"/>
            <w:right w:w="108" w:type="dxa"/>
          </w:tblCellMar>
        </w:tblPrEx>
        <w:trPr>
          <w:trHeight w:val="5760" w:hRule="atLeast"/>
        </w:trPr>
        <w:tc>
          <w:tcPr>
            <w:tcW w:w="25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5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钢质防盗门   （★提供实物样品一张）</w:t>
            </w:r>
          </w:p>
        </w:tc>
        <w:tc>
          <w:tcPr>
            <w:tcW w:w="7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800*2100</w:t>
            </w:r>
          </w:p>
        </w:tc>
        <w:tc>
          <w:tcPr>
            <w:tcW w:w="4384"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sz w:val="21"/>
                <w:szCs w:val="21"/>
              </w:rPr>
            </w:pPr>
            <w:r>
              <w:rPr>
                <w:rFonts w:hint="eastAsia" w:ascii="宋体" w:hAnsi="宋体"/>
                <w:sz w:val="21"/>
                <w:szCs w:val="21"/>
              </w:rPr>
              <w:t>1、门扇厚度70mm±2mm；</w:t>
            </w:r>
          </w:p>
          <w:p>
            <w:pPr>
              <w:spacing w:line="320" w:lineRule="exact"/>
              <w:jc w:val="left"/>
              <w:rPr>
                <w:rFonts w:hint="eastAsia" w:ascii="宋体" w:hAnsi="宋体"/>
                <w:sz w:val="21"/>
                <w:szCs w:val="21"/>
              </w:rPr>
            </w:pPr>
            <w:r>
              <w:rPr>
                <w:rFonts w:hint="eastAsia" w:ascii="宋体" w:hAnsi="宋体"/>
                <w:sz w:val="21"/>
                <w:szCs w:val="21"/>
              </w:rPr>
              <w:t>2、单开，内开；</w:t>
            </w:r>
          </w:p>
          <w:p>
            <w:pPr>
              <w:spacing w:line="320" w:lineRule="exact"/>
              <w:jc w:val="left"/>
              <w:rPr>
                <w:rFonts w:hint="eastAsia" w:ascii="宋体" w:hAnsi="宋体"/>
                <w:sz w:val="21"/>
                <w:szCs w:val="21"/>
              </w:rPr>
            </w:pPr>
            <w:r>
              <w:rPr>
                <w:rFonts w:hint="eastAsia" w:ascii="宋体" w:hAnsi="宋体"/>
                <w:sz w:val="21"/>
                <w:szCs w:val="21"/>
              </w:rPr>
              <w:t>3、门洞尺寸：800*2100（门洞具体以现场为准）；</w:t>
            </w:r>
          </w:p>
          <w:p>
            <w:pPr>
              <w:spacing w:line="320" w:lineRule="exact"/>
              <w:jc w:val="left"/>
              <w:rPr>
                <w:rFonts w:hint="eastAsia" w:ascii="宋体" w:hAnsi="宋体"/>
                <w:sz w:val="21"/>
                <w:szCs w:val="21"/>
              </w:rPr>
            </w:pPr>
            <w:r>
              <w:rPr>
                <w:rFonts w:hint="eastAsia" w:ascii="宋体" w:hAnsi="宋体"/>
                <w:sz w:val="21"/>
                <w:szCs w:val="21"/>
              </w:rPr>
              <w:t>4、门框：采用1.2mm凯景优质镀锌钢板， 门框必须采用水泥砂浆灌浆密实，门框接缝处需焊接牢固，不留缝隙。门扇：采用0.8mm凯景优质镀锌钢板，门扇必须坚固耐用，抗撞击；</w:t>
            </w:r>
          </w:p>
          <w:p>
            <w:pPr>
              <w:spacing w:line="320" w:lineRule="exact"/>
              <w:jc w:val="left"/>
              <w:rPr>
                <w:rFonts w:hint="eastAsia" w:ascii="宋体" w:hAnsi="宋体"/>
                <w:sz w:val="21"/>
                <w:szCs w:val="21"/>
              </w:rPr>
            </w:pPr>
            <w:r>
              <w:rPr>
                <w:rFonts w:hint="eastAsia" w:ascii="宋体" w:hAnsi="宋体"/>
                <w:sz w:val="21"/>
                <w:szCs w:val="21"/>
              </w:rPr>
              <w:t>5、表面处理：要求采用创基户外粉，采用静电液态喷涂（涂料厚度≥20μm）或静电粉末喷涂（涂料厚度≥60um），要求具有防尘、防菌、防爆，喷塑面平整，无裂纹、无起泡现象。涂层厚度必须达到国家标准；</w:t>
            </w:r>
          </w:p>
          <w:p>
            <w:pPr>
              <w:spacing w:line="320" w:lineRule="exact"/>
              <w:jc w:val="left"/>
              <w:rPr>
                <w:rFonts w:hint="eastAsia" w:ascii="宋体" w:hAnsi="宋体"/>
                <w:sz w:val="21"/>
                <w:szCs w:val="21"/>
              </w:rPr>
            </w:pPr>
            <w:r>
              <w:rPr>
                <w:rFonts w:hint="eastAsia" w:ascii="宋体" w:hAnsi="宋体"/>
                <w:sz w:val="21"/>
                <w:szCs w:val="21"/>
              </w:rPr>
              <w:t>6、五金：五金配件为产品配套件，包含合页、门锁、门吸、门把手等五金配件，五金件、附件、紧固件应满足功能要求，具有足够强度，启闭灵活无噪声。合页：每扇门采用3付旗型合页，厚度≥3.0mm，拉力≥15N。</w:t>
            </w:r>
          </w:p>
          <w:p>
            <w:pPr>
              <w:spacing w:line="320" w:lineRule="exact"/>
              <w:jc w:val="left"/>
              <w:rPr>
                <w:rFonts w:hint="eastAsia" w:ascii="宋体" w:hAnsi="宋体"/>
                <w:sz w:val="21"/>
                <w:szCs w:val="21"/>
              </w:rPr>
            </w:pPr>
            <w:r>
              <w:rPr>
                <w:rFonts w:hint="eastAsia" w:ascii="宋体" w:hAnsi="宋体"/>
                <w:sz w:val="21"/>
                <w:szCs w:val="21"/>
              </w:rPr>
              <w:t>7、锁具采用忠恒304不锈钢锁具、锁芯采用内外锁匙锁芯，门吸：材质为304不锈钢，根据现场条件适配地吸或墙吸，要求吸力牢固；</w:t>
            </w:r>
          </w:p>
          <w:p>
            <w:pPr>
              <w:spacing w:line="320" w:lineRule="exact"/>
              <w:jc w:val="left"/>
              <w:rPr>
                <w:rFonts w:hint="eastAsia" w:ascii="宋体" w:hAnsi="宋体"/>
                <w:sz w:val="21"/>
                <w:szCs w:val="21"/>
              </w:rPr>
            </w:pPr>
            <w:r>
              <w:rPr>
                <w:rFonts w:hint="eastAsia" w:ascii="宋体" w:hAnsi="宋体"/>
                <w:sz w:val="21"/>
                <w:szCs w:val="21"/>
              </w:rPr>
              <w:t>8、开门方向。按原门方向设置内外开门方向，左开还是右开需要供应商到现场根据实际情况统计测量；</w:t>
            </w:r>
          </w:p>
          <w:p>
            <w:pPr>
              <w:spacing w:line="320" w:lineRule="exact"/>
              <w:jc w:val="left"/>
              <w:rPr>
                <w:rFonts w:hint="eastAsia" w:ascii="宋体" w:hAnsi="宋体"/>
                <w:sz w:val="21"/>
                <w:szCs w:val="21"/>
              </w:rPr>
            </w:pPr>
            <w:r>
              <w:rPr>
                <w:rFonts w:hint="eastAsia" w:ascii="宋体" w:hAnsi="宋体"/>
                <w:sz w:val="21"/>
                <w:szCs w:val="21"/>
              </w:rPr>
              <w:t>9.材料需经酸洗磷化处理和电泳处理。</w:t>
            </w:r>
          </w:p>
          <w:p>
            <w:pPr>
              <w:spacing w:line="320" w:lineRule="exact"/>
              <w:jc w:val="left"/>
              <w:rPr>
                <w:rFonts w:hint="eastAsia" w:ascii="宋体" w:hAnsi="宋体"/>
                <w:sz w:val="21"/>
                <w:szCs w:val="21"/>
              </w:rPr>
            </w:pPr>
            <w:r>
              <w:rPr>
                <w:rFonts w:hint="eastAsia" w:ascii="宋体" w:hAnsi="宋体"/>
                <w:sz w:val="21"/>
                <w:szCs w:val="21"/>
              </w:rPr>
              <w:t xml:space="preserve">需提供：★1、塑粉检测报告                  </w:t>
            </w:r>
          </w:p>
          <w:p>
            <w:pPr>
              <w:spacing w:line="320" w:lineRule="exact"/>
              <w:jc w:val="left"/>
              <w:rPr>
                <w:rFonts w:ascii="宋体" w:hAnsi="宋体"/>
                <w:sz w:val="24"/>
              </w:rPr>
            </w:pPr>
            <w:r>
              <w:rPr>
                <w:rFonts w:hint="eastAsia" w:ascii="宋体" w:hAnsi="宋体"/>
                <w:sz w:val="21"/>
                <w:szCs w:val="21"/>
              </w:rPr>
              <w:t xml:space="preserve">       ★ 2、机械锁检测报告</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u w:val="singl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1398270</wp:posOffset>
                  </wp:positionV>
                  <wp:extent cx="920750" cy="2100580"/>
                  <wp:effectExtent l="0" t="0" r="12700" b="1397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6"/>
                          <a:stretch>
                            <a:fillRect/>
                          </a:stretch>
                        </pic:blipFill>
                        <pic:spPr>
                          <a:xfrm>
                            <a:off x="0" y="0"/>
                            <a:ext cx="920750" cy="2100580"/>
                          </a:xfrm>
                          <a:prstGeom prst="rect">
                            <a:avLst/>
                          </a:prstGeom>
                          <a:noFill/>
                          <a:ln>
                            <a:noFill/>
                          </a:ln>
                        </pic:spPr>
                      </pic:pic>
                    </a:graphicData>
                  </a:graphic>
                </wp:anchor>
              </w:drawing>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u w:val="single"/>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sz w:val="24"/>
                <w:u w:val="single"/>
                <w:lang w:val="en-US" w:eastAsia="zh-CN"/>
              </w:rPr>
            </w:pPr>
            <w:r>
              <w:rPr>
                <w:rFonts w:hint="eastAsia" w:ascii="宋体" w:hAnsi="宋体"/>
                <w:sz w:val="24"/>
                <w:u w:val="none"/>
                <w:lang w:val="en-US" w:eastAsia="zh-CN"/>
              </w:rPr>
              <w:t>765</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u w:val="single"/>
              </w:rPr>
            </w:pPr>
          </w:p>
        </w:tc>
      </w:tr>
    </w:tbl>
    <w:p>
      <w:pPr>
        <w:spacing w:line="360" w:lineRule="auto"/>
        <w:rPr>
          <w:rFonts w:hint="eastAsia" w:ascii="宋体" w:hAnsi="宋体"/>
          <w:color w:val="FF0000"/>
          <w:sz w:val="24"/>
          <w:lang w:eastAsia="zh-CN"/>
        </w:rPr>
      </w:pPr>
      <w:r>
        <w:rPr>
          <w:rFonts w:hint="eastAsia" w:ascii="宋体" w:hAnsi="宋体"/>
          <w:color w:val="FF0000"/>
          <w:sz w:val="24"/>
          <w:lang w:eastAsia="zh-CN"/>
        </w:rPr>
        <w:t>备注：</w:t>
      </w:r>
      <w:r>
        <w:rPr>
          <w:rFonts w:hint="eastAsia" w:ascii="宋体" w:hAnsi="宋体"/>
          <w:color w:val="FF0000"/>
          <w:sz w:val="24"/>
          <w:lang w:val="en-US" w:eastAsia="zh-CN"/>
        </w:rPr>
        <w:t>1、</w:t>
      </w:r>
      <w:r>
        <w:rPr>
          <w:rFonts w:hint="eastAsia" w:ascii="宋体" w:hAnsi="宋体"/>
          <w:color w:val="FF0000"/>
          <w:sz w:val="24"/>
          <w:lang w:eastAsia="zh-CN"/>
        </w:rPr>
        <w:t>以上单价含制作、运输、安装、拆卸旧门、水泥砂子、门框塞缝、收边包工包料、清理垃圾费用及税点。</w:t>
      </w:r>
    </w:p>
    <w:p>
      <w:pPr>
        <w:spacing w:line="360" w:lineRule="auto"/>
        <w:rPr>
          <w:rFonts w:hint="default" w:ascii="宋体" w:hAnsi="宋体"/>
          <w:color w:val="FF0000"/>
          <w:sz w:val="24"/>
          <w:lang w:val="en-US" w:eastAsia="zh-CN"/>
        </w:rPr>
      </w:pPr>
      <w:r>
        <w:rPr>
          <w:rFonts w:hint="eastAsia" w:ascii="宋体" w:hAnsi="宋体"/>
          <w:color w:val="FF0000"/>
          <w:sz w:val="24"/>
          <w:lang w:val="en-US" w:eastAsia="zh-CN"/>
        </w:rPr>
        <w:t>2、控制价：948600元。</w:t>
      </w:r>
    </w:p>
    <w:p>
      <w:pPr>
        <w:spacing w:line="360" w:lineRule="auto"/>
        <w:rPr>
          <w:rFonts w:hint="eastAsia" w:ascii="宋体" w:hAnsi="宋体"/>
          <w:sz w:val="24"/>
        </w:rPr>
      </w:pPr>
    </w:p>
    <w:p>
      <w:pPr>
        <w:spacing w:line="360" w:lineRule="auto"/>
        <w:ind w:firstLine="3120" w:firstLineChars="1300"/>
        <w:rPr>
          <w:rFonts w:ascii="宋体" w:hAnsi="宋体"/>
          <w:sz w:val="24"/>
        </w:rPr>
      </w:pPr>
      <w:r>
        <w:rPr>
          <w:rFonts w:hint="eastAsia" w:ascii="宋体" w:hAnsi="宋体"/>
          <w:sz w:val="24"/>
        </w:rPr>
        <w:t>采购响应供应商全称（加盖公章）：</w:t>
      </w:r>
    </w:p>
    <w:p>
      <w:pPr>
        <w:spacing w:line="360" w:lineRule="auto"/>
        <w:ind w:firstLine="5280" w:firstLineChars="2200"/>
        <w:rPr>
          <w:rFonts w:ascii="宋体" w:hAnsi="宋体"/>
          <w:sz w:val="24"/>
          <w:u w:val="single"/>
        </w:rPr>
      </w:pPr>
      <w:r>
        <w:rPr>
          <w:rFonts w:hint="eastAsia" w:ascii="宋体" w:hAnsi="宋体"/>
          <w:sz w:val="24"/>
        </w:rPr>
        <w:t>授权代表签字：</w:t>
      </w:r>
    </w:p>
    <w:p>
      <w:pPr>
        <w:tabs>
          <w:tab w:val="left" w:pos="2775"/>
        </w:tabs>
        <w:spacing w:line="460" w:lineRule="exact"/>
        <w:ind w:firstLine="6240" w:firstLineChars="2600"/>
        <w:jc w:val="left"/>
        <w:rPr>
          <w:rFonts w:ascii="宋体" w:hAnsi="宋体"/>
          <w:sz w:val="24"/>
        </w:rPr>
      </w:pPr>
      <w:r>
        <w:rPr>
          <w:rFonts w:hint="eastAsia" w:ascii="宋体" w:hAnsi="宋体"/>
          <w:sz w:val="24"/>
        </w:rPr>
        <w:t>日期：</w:t>
      </w:r>
    </w:p>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2、交货期：合同签定后根据采购方需求下单</w:t>
      </w:r>
      <w:r>
        <w:rPr>
          <w:rFonts w:hint="eastAsia" w:ascii="宋体" w:hAnsi="宋体"/>
          <w:sz w:val="24"/>
          <w:lang w:val="en-US" w:eastAsia="zh-CN"/>
        </w:rPr>
        <w:t>35</w:t>
      </w:r>
      <w:r>
        <w:rPr>
          <w:rFonts w:hint="eastAsia" w:ascii="宋体" w:hAnsi="宋体"/>
          <w:sz w:val="24"/>
        </w:rPr>
        <w:t>日内</w:t>
      </w:r>
      <w:r>
        <w:rPr>
          <w:rFonts w:hint="eastAsia" w:ascii="宋体" w:hAnsi="宋体"/>
          <w:sz w:val="24"/>
          <w:lang w:eastAsia="zh-CN"/>
        </w:rPr>
        <w:t>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、供应商限厦门地区。</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color w:val="auto"/>
          <w:sz w:val="24"/>
          <w:highlight w:val="none"/>
        </w:rPr>
        <w:t>供应商应提供★塑粉检测报告</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eastAsia="zh-CN"/>
        </w:rPr>
        <w:t>机械锁检测报告</w:t>
      </w:r>
      <w:r>
        <w:rPr>
          <w:rFonts w:hint="eastAsia" w:ascii="宋体" w:hAnsi="宋体"/>
          <w:sz w:val="24"/>
          <w:highlight w:val="none"/>
        </w:rPr>
        <w:t>，提供相应文件支持并加盖公章。</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4、供应商应提供</w:t>
      </w:r>
      <w:r>
        <w:rPr>
          <w:rFonts w:hint="eastAsia" w:ascii="宋体" w:hAnsi="宋体"/>
          <w:sz w:val="24"/>
          <w:highlight w:val="none"/>
        </w:rPr>
        <w:t>钢质防盗门</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等比例</w:t>
      </w:r>
      <w:r>
        <w:rPr>
          <w:rFonts w:hint="eastAsia" w:ascii="宋体" w:hAnsi="宋体"/>
          <w:sz w:val="24"/>
          <w:highlight w:val="none"/>
        </w:rPr>
        <w:t>实物样品一张</w:t>
      </w:r>
      <w:r>
        <w:rPr>
          <w:rFonts w:hint="eastAsia" w:ascii="宋体" w:hAnsi="宋体"/>
          <w:sz w:val="24"/>
          <w:highlight w:val="none"/>
          <w:lang w:eastAsia="zh-CN"/>
        </w:rPr>
        <w:t>）。</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lang w:eastAsia="zh-CN"/>
        </w:rPr>
        <w:t>学生宿舍（和居楼</w:t>
      </w:r>
      <w:r>
        <w:rPr>
          <w:rFonts w:hint="eastAsia" w:ascii="宋体" w:hAnsi="宋体"/>
          <w:sz w:val="24"/>
          <w:lang w:val="en-US" w:eastAsia="zh-CN"/>
        </w:rPr>
        <w:t>1-5号</w:t>
      </w:r>
      <w:r>
        <w:rPr>
          <w:rFonts w:hint="eastAsia" w:ascii="宋体" w:hAnsi="宋体"/>
          <w:sz w:val="24"/>
          <w:lang w:eastAsia="zh-CN"/>
        </w:rPr>
        <w:t>）阳台门更换项目</w:t>
      </w:r>
      <w:r>
        <w:rPr>
          <w:rFonts w:hint="eastAsia" w:ascii="宋体" w:hAnsi="宋体"/>
          <w:sz w:val="24"/>
          <w:highlight w:val="none"/>
          <w:lang w:val="en-US" w:eastAsia="zh-CN"/>
        </w:rPr>
        <w:t>报价一览表。</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6、资格性、符合性所要求的相关信息。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5"/>
      <w:bookmarkStart w:id="6" w:name="_Toc361840720"/>
      <w:bookmarkStart w:id="7" w:name="_Toc363578332"/>
      <w:bookmarkStart w:id="8" w:name="_Toc415216384"/>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0" w:name="_Toc361840721"/>
      <w:bookmarkStart w:id="11" w:name="_Toc363578333"/>
      <w:bookmarkStart w:id="12"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sz w:val="24"/>
        </w:rPr>
      </w:pPr>
      <w:r>
        <w:rPr>
          <w:rFonts w:hint="eastAsia" w:ascii="宋体" w:hAnsi="宋体" w:cs="Arial"/>
          <w:sz w:val="24"/>
        </w:rPr>
        <w:t>4、</w:t>
      </w:r>
      <w:r>
        <w:rPr>
          <w:rFonts w:hint="eastAsia" w:ascii="宋体" w:hAnsi="宋体" w:cs="Arial"/>
          <w:b/>
          <w:sz w:val="24"/>
        </w:rPr>
        <w:t>成交供应商在供货、施工及运营维护过程中若有出现安全事故，其责任及相应的赔偿均由成交供应商自行承担，采购人不承担所有责任及义务。</w:t>
      </w:r>
    </w:p>
    <w:p>
      <w:pPr>
        <w:spacing w:line="360" w:lineRule="auto"/>
        <w:ind w:firstLine="602" w:firstLineChars="250"/>
        <w:rPr>
          <w:rFonts w:hint="eastAsia" w:ascii="宋体" w:hAnsi="宋体" w:eastAsia="宋体" w:cs="Arial"/>
          <w:b/>
          <w:sz w:val="24"/>
          <w:lang w:val="en-US" w:eastAsia="zh-CN"/>
        </w:rPr>
      </w:pPr>
      <w:r>
        <w:rPr>
          <w:rFonts w:hint="eastAsia" w:ascii="宋体" w:hAnsi="宋体" w:cs="Arial"/>
          <w:b/>
          <w:sz w:val="24"/>
          <w:lang w:val="en-US" w:eastAsia="zh-CN"/>
        </w:rPr>
        <w:t>5、中标单位的样品将移交采购人，作为验收参考。</w:t>
      </w:r>
    </w:p>
    <w:p>
      <w:pPr>
        <w:spacing w:line="360" w:lineRule="auto"/>
        <w:jc w:val="left"/>
        <w:rPr>
          <w:rFonts w:ascii="宋体" w:hAnsi="宋体"/>
          <w:b/>
          <w:sz w:val="24"/>
        </w:rPr>
      </w:pPr>
      <w:bookmarkStart w:id="13" w:name="_Toc363578335"/>
      <w:bookmarkStart w:id="14" w:name="_Toc361840725"/>
      <w:bookmarkStart w:id="15" w:name="_Toc415216389"/>
      <w:r>
        <w:rPr>
          <w:rFonts w:hint="eastAsia" w:ascii="宋体" w:hAnsi="宋体"/>
          <w:b/>
          <w:sz w:val="24"/>
        </w:rPr>
        <w:t>五、合同签订</w:t>
      </w:r>
      <w:bookmarkEnd w:id="13"/>
      <w:bookmarkEnd w:id="14"/>
      <w:bookmarkEnd w:id="15"/>
    </w:p>
    <w:p>
      <w:pPr>
        <w:spacing w:line="360" w:lineRule="auto"/>
        <w:ind w:firstLine="480" w:firstLineChars="200"/>
        <w:rPr>
          <w:rFonts w:hint="eastAsia" w:ascii="宋体" w:hAnsi="宋体"/>
          <w:b/>
          <w:sz w:val="24"/>
        </w:rPr>
      </w:pPr>
      <w:r>
        <w:rPr>
          <w:rFonts w:hint="eastAsia" w:ascii="宋体" w:hAnsi="宋体"/>
          <w:sz w:val="24"/>
        </w:rPr>
        <w:t>成交供应商中标后应与采购单位签订合同，采购文件条款、成交供应商的采购响应文件内容均为合同签订的基础。成交供应商应在合同签订后的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6" w:name="_Toc415216390"/>
    </w:p>
    <w:p>
      <w:pPr>
        <w:spacing w:line="360" w:lineRule="auto"/>
        <w:jc w:val="left"/>
        <w:rPr>
          <w:rFonts w:ascii="宋体" w:hAnsi="宋体"/>
          <w:b/>
          <w:sz w:val="24"/>
        </w:rPr>
      </w:pPr>
      <w:r>
        <w:rPr>
          <w:rFonts w:hint="eastAsia" w:ascii="宋体" w:hAnsi="宋体"/>
          <w:b/>
          <w:sz w:val="24"/>
        </w:rPr>
        <w:t>五、付款方式</w:t>
      </w:r>
      <w:bookmarkEnd w:id="9"/>
      <w:bookmarkEnd w:id="16"/>
    </w:p>
    <w:p>
      <w:pPr>
        <w:spacing w:line="360" w:lineRule="auto"/>
        <w:ind w:firstLine="420" w:firstLineChars="175"/>
        <w:rPr>
          <w:rFonts w:hint="eastAsia" w:ascii="宋体" w:hAnsi="宋体"/>
          <w:sz w:val="24"/>
          <w:szCs w:val="20"/>
          <w:highlight w:val="yellow"/>
        </w:rPr>
      </w:pPr>
      <w:r>
        <w:rPr>
          <w:rFonts w:hint="eastAsia" w:ascii="宋体" w:hAnsi="宋体"/>
          <w:sz w:val="24"/>
          <w:szCs w:val="20"/>
          <w:highlight w:val="none"/>
        </w:rPr>
        <w:t>成交供应商按照采购文件、采购响应文件</w:t>
      </w:r>
      <w:r>
        <w:rPr>
          <w:rFonts w:hint="eastAsia" w:ascii="宋体" w:hAnsi="宋体"/>
          <w:sz w:val="24"/>
          <w:szCs w:val="20"/>
          <w:highlight w:val="none"/>
          <w:lang w:eastAsia="zh-CN"/>
        </w:rPr>
        <w:t>及合同等</w:t>
      </w:r>
      <w:r>
        <w:rPr>
          <w:rFonts w:hint="eastAsia" w:ascii="宋体" w:hAnsi="宋体"/>
          <w:sz w:val="24"/>
          <w:szCs w:val="20"/>
          <w:highlight w:val="none"/>
        </w:rPr>
        <w:t>要求提供合格的服务，</w:t>
      </w:r>
      <w:r>
        <w:rPr>
          <w:rFonts w:hint="eastAsia" w:ascii="宋体" w:hAnsi="宋体"/>
          <w:color w:val="000000"/>
          <w:sz w:val="24"/>
          <w:highlight w:val="none"/>
        </w:rPr>
        <w:t>中标单位</w:t>
      </w:r>
      <w:r>
        <w:rPr>
          <w:rFonts w:hint="eastAsia" w:ascii="宋体" w:hAnsi="宋体"/>
          <w:sz w:val="24"/>
          <w:szCs w:val="20"/>
          <w:highlight w:val="none"/>
        </w:rPr>
        <w:t>持有正式发票及其他相关资料办理</w:t>
      </w:r>
      <w:r>
        <w:rPr>
          <w:rFonts w:hint="eastAsia" w:ascii="宋体" w:hAnsi="宋体"/>
          <w:sz w:val="24"/>
          <w:szCs w:val="20"/>
          <w:highlight w:val="none"/>
          <w:lang w:eastAsia="zh-CN"/>
        </w:rPr>
        <w:t>相关费用</w:t>
      </w:r>
      <w:r>
        <w:rPr>
          <w:rFonts w:hint="eastAsia" w:ascii="宋体" w:hAnsi="宋体"/>
          <w:sz w:val="24"/>
          <w:szCs w:val="20"/>
          <w:highlight w:val="none"/>
        </w:rPr>
        <w:t>。</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7" w:name="_Toc398504591"/>
      <w:bookmarkStart w:id="18" w:name="_Toc532149370"/>
      <w:bookmarkStart w:id="19" w:name="_Toc431190639"/>
      <w:bookmarkStart w:id="20" w:name="_Toc398284535"/>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7"/>
      <w:bookmarkEnd w:id="18"/>
      <w:bookmarkEnd w:id="19"/>
      <w:bookmarkEnd w:id="20"/>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)响应文件中提供虚假或失实资料的；</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不公正地影响了其他作出实质性</w:t>
            </w:r>
            <w:bookmarkStart w:id="21" w:name="_GoBack"/>
            <w:bookmarkEnd w:id="21"/>
            <w:r>
              <w:rPr>
                <w:rFonts w:ascii="宋体" w:hAnsi="宋体"/>
                <w:sz w:val="24"/>
              </w:rPr>
              <w:t>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highlight w:val="yellow"/>
              </w:rPr>
            </w:pPr>
            <w:r>
              <w:rPr>
                <w:rFonts w:hint="eastAsia" w:ascii="宋体" w:hAnsi="宋体"/>
                <w:sz w:val="24"/>
                <w:highlight w:val="yellow"/>
              </w:rPr>
              <w:t>钢质防盗门</w:t>
            </w:r>
            <w:r>
              <w:rPr>
                <w:rFonts w:hint="eastAsia" w:ascii="宋体" w:hAnsi="宋体"/>
                <w:sz w:val="24"/>
                <w:highlight w:val="yellow"/>
                <w:lang w:eastAsia="zh-CN"/>
              </w:rPr>
              <w:t>（</w:t>
            </w:r>
            <w:r>
              <w:rPr>
                <w:rFonts w:hint="eastAsia" w:ascii="宋体" w:hAnsi="宋体"/>
                <w:sz w:val="24"/>
                <w:highlight w:val="yellow"/>
              </w:rPr>
              <w:t>★提供实物样品一张</w:t>
            </w:r>
            <w:r>
              <w:rPr>
                <w:rFonts w:hint="eastAsia" w:ascii="宋体" w:hAnsi="宋体"/>
                <w:sz w:val="24"/>
                <w:highlight w:val="yellow"/>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320" w:lineRule="exact"/>
              <w:jc w:val="left"/>
              <w:rPr>
                <w:rFonts w:hint="eastAsia" w:ascii="宋体" w:hAnsi="宋体"/>
                <w:sz w:val="24"/>
                <w:highlight w:val="yellow"/>
              </w:rPr>
            </w:pPr>
            <w:r>
              <w:rPr>
                <w:rFonts w:hint="eastAsia" w:ascii="宋体" w:hAnsi="宋体"/>
                <w:sz w:val="24"/>
                <w:highlight w:val="yellow"/>
              </w:rPr>
              <w:t>★塑粉检测报告</w:t>
            </w:r>
            <w:r>
              <w:rPr>
                <w:rFonts w:hint="eastAsia" w:ascii="宋体" w:hAnsi="宋体"/>
                <w:sz w:val="21"/>
                <w:szCs w:val="21"/>
                <w:highlight w:val="yellow"/>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highlight w:val="yellow"/>
              </w:rPr>
            </w:pPr>
            <w:r>
              <w:rPr>
                <w:rFonts w:hint="eastAsia" w:ascii="宋体" w:hAnsi="宋体"/>
                <w:sz w:val="24"/>
                <w:highlight w:val="yellow"/>
              </w:rPr>
              <w:t>★机械锁检测报告</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sz w:val="24"/>
              </w:rPr>
            </w:pPr>
            <w:r>
              <w:rPr>
                <w:rFonts w:hint="eastAsia" w:ascii="宋体" w:hAnsi="宋体"/>
                <w:sz w:val="24"/>
              </w:rPr>
              <w:t>上述带“★”号条款供应商应逐条进行响应，并逐条填写带“★”号条款响应表。其中，项号</w:t>
            </w:r>
            <w:r>
              <w:rPr>
                <w:rFonts w:hint="eastAsia" w:ascii="宋体" w:hAnsi="宋体"/>
                <w:sz w:val="24"/>
                <w:highlight w:val="yellow"/>
                <w:u w:val="single"/>
                <w:lang w:val="en-US" w:eastAsia="zh-CN"/>
              </w:rPr>
              <w:t>2-3</w:t>
            </w:r>
            <w:r>
              <w:rPr>
                <w:rFonts w:hint="eastAsia" w:ascii="宋体" w:hAnsi="宋体"/>
                <w:sz w:val="24"/>
              </w:rPr>
              <w:t>的条款，要求供应商应在报价文中提供实质性满足</w:t>
            </w:r>
            <w:r>
              <w:rPr>
                <w:rFonts w:hint="eastAsia" w:ascii="宋体" w:hAnsi="宋体"/>
                <w:sz w:val="24"/>
                <w:lang w:eastAsia="zh-CN"/>
              </w:rPr>
              <w:t>采购文件</w:t>
            </w:r>
            <w:r>
              <w:rPr>
                <w:rFonts w:hint="eastAsia" w:ascii="宋体" w:hAnsi="宋体"/>
                <w:sz w:val="24"/>
              </w:rPr>
              <w:t>要求的客观证据以作佐证，否则</w:t>
            </w:r>
            <w:r>
              <w:rPr>
                <w:rFonts w:hint="eastAsia" w:ascii="宋体" w:hAnsi="宋体"/>
                <w:sz w:val="24"/>
                <w:lang w:eastAsia="zh-CN"/>
              </w:rPr>
              <w:t>评审小组</w:t>
            </w:r>
            <w:r>
              <w:rPr>
                <w:rFonts w:hint="eastAsia" w:ascii="宋体" w:hAnsi="宋体"/>
                <w:sz w:val="24"/>
              </w:rPr>
              <w:t>将认定为不满足。</w:t>
            </w:r>
          </w:p>
          <w:p>
            <w:pPr>
              <w:spacing w:line="400" w:lineRule="exact"/>
              <w:ind w:firstLine="480" w:firstLineChars="200"/>
              <w:rPr>
                <w:rFonts w:hint="eastAsia"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10580EF2"/>
    <w:rsid w:val="10785D27"/>
    <w:rsid w:val="11685646"/>
    <w:rsid w:val="11801260"/>
    <w:rsid w:val="12CD5B1C"/>
    <w:rsid w:val="13077385"/>
    <w:rsid w:val="13946F8E"/>
    <w:rsid w:val="14647808"/>
    <w:rsid w:val="155763A5"/>
    <w:rsid w:val="15874965"/>
    <w:rsid w:val="16C06ACC"/>
    <w:rsid w:val="17587F81"/>
    <w:rsid w:val="175C36AF"/>
    <w:rsid w:val="18857A87"/>
    <w:rsid w:val="19B01304"/>
    <w:rsid w:val="19F94502"/>
    <w:rsid w:val="1A9539C1"/>
    <w:rsid w:val="1C231B3B"/>
    <w:rsid w:val="2073394E"/>
    <w:rsid w:val="20830AD6"/>
    <w:rsid w:val="20D426AA"/>
    <w:rsid w:val="21BB76AD"/>
    <w:rsid w:val="22C24DA0"/>
    <w:rsid w:val="23705745"/>
    <w:rsid w:val="238E7853"/>
    <w:rsid w:val="24086C87"/>
    <w:rsid w:val="249714A5"/>
    <w:rsid w:val="2793308C"/>
    <w:rsid w:val="27BF7614"/>
    <w:rsid w:val="27D41785"/>
    <w:rsid w:val="27DC2D2D"/>
    <w:rsid w:val="2BD37694"/>
    <w:rsid w:val="2C5D738E"/>
    <w:rsid w:val="2D0310D6"/>
    <w:rsid w:val="2E245634"/>
    <w:rsid w:val="2E8F24B5"/>
    <w:rsid w:val="2E9B41BC"/>
    <w:rsid w:val="2F336341"/>
    <w:rsid w:val="30D321E2"/>
    <w:rsid w:val="31957A45"/>
    <w:rsid w:val="325974FE"/>
    <w:rsid w:val="33136432"/>
    <w:rsid w:val="3401563B"/>
    <w:rsid w:val="366418C3"/>
    <w:rsid w:val="37562E22"/>
    <w:rsid w:val="37992A95"/>
    <w:rsid w:val="37A0414D"/>
    <w:rsid w:val="384930BC"/>
    <w:rsid w:val="39DB460C"/>
    <w:rsid w:val="39DC5332"/>
    <w:rsid w:val="3A607ECC"/>
    <w:rsid w:val="3A65316C"/>
    <w:rsid w:val="3A9E683F"/>
    <w:rsid w:val="3D206478"/>
    <w:rsid w:val="3D7B5565"/>
    <w:rsid w:val="3DAE1908"/>
    <w:rsid w:val="3E6B119F"/>
    <w:rsid w:val="3F975062"/>
    <w:rsid w:val="3FE835CA"/>
    <w:rsid w:val="3FF1030D"/>
    <w:rsid w:val="41662CE4"/>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84065D8"/>
    <w:rsid w:val="58664B8F"/>
    <w:rsid w:val="5B6D0D80"/>
    <w:rsid w:val="5C264920"/>
    <w:rsid w:val="5C9B36D0"/>
    <w:rsid w:val="5D4263CD"/>
    <w:rsid w:val="5D4A7B3F"/>
    <w:rsid w:val="5D993B95"/>
    <w:rsid w:val="5DE970D3"/>
    <w:rsid w:val="5F977A7E"/>
    <w:rsid w:val="601C3AD7"/>
    <w:rsid w:val="605B16C5"/>
    <w:rsid w:val="605C240A"/>
    <w:rsid w:val="60D366B1"/>
    <w:rsid w:val="60DC1953"/>
    <w:rsid w:val="60EB5E38"/>
    <w:rsid w:val="614D5D3C"/>
    <w:rsid w:val="620E1A78"/>
    <w:rsid w:val="62BD1F42"/>
    <w:rsid w:val="62C353DF"/>
    <w:rsid w:val="62D16268"/>
    <w:rsid w:val="659511E5"/>
    <w:rsid w:val="660431A5"/>
    <w:rsid w:val="66894937"/>
    <w:rsid w:val="6704208F"/>
    <w:rsid w:val="67081CF4"/>
    <w:rsid w:val="67627F80"/>
    <w:rsid w:val="6966127C"/>
    <w:rsid w:val="69AE384F"/>
    <w:rsid w:val="6C13419F"/>
    <w:rsid w:val="6D6822C3"/>
    <w:rsid w:val="6D961D52"/>
    <w:rsid w:val="6DF330FA"/>
    <w:rsid w:val="6E3535C4"/>
    <w:rsid w:val="6FB305A4"/>
    <w:rsid w:val="71531DA1"/>
    <w:rsid w:val="716258D0"/>
    <w:rsid w:val="71952EB2"/>
    <w:rsid w:val="71BB2C82"/>
    <w:rsid w:val="71E76E4F"/>
    <w:rsid w:val="72575705"/>
    <w:rsid w:val="728F5316"/>
    <w:rsid w:val="73407BBC"/>
    <w:rsid w:val="76E36877"/>
    <w:rsid w:val="775351A8"/>
    <w:rsid w:val="78F622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10</TotalTime>
  <ScaleCrop>false</ScaleCrop>
  <LinksUpToDate>false</LinksUpToDate>
  <CharactersWithSpaces>2864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李颖莹</cp:lastModifiedBy>
  <cp:lastPrinted>2020-09-07T01:49:00Z</cp:lastPrinted>
  <dcterms:modified xsi:type="dcterms:W3CDTF">2020-09-29T02:21:19Z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