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校园共享单车</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2022</w:t>
      </w:r>
      <w:r>
        <w:rPr>
          <w:rFonts w:hAnsi="宋体"/>
          <w:b/>
          <w:sz w:val="32"/>
        </w:rPr>
        <w:t>年</w:t>
      </w:r>
      <w:r>
        <w:rPr>
          <w:rFonts w:hint="eastAsia" w:hAnsi="宋体"/>
          <w:b/>
          <w:sz w:val="32"/>
          <w:lang w:val="en-US" w:eastAsia="zh-CN"/>
        </w:rPr>
        <w:t>5</w:t>
      </w:r>
      <w:r>
        <w:rPr>
          <w:rFonts w:hAnsi="宋体"/>
          <w:b/>
          <w:sz w:val="32"/>
        </w:rPr>
        <w:t>月</w:t>
      </w:r>
    </w:p>
    <w:p>
      <w:pPr>
        <w:pStyle w:val="8"/>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校园共享单车</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hint="eastAsia" w:ascii="宋体" w:hAnsi="宋体"/>
          <w:sz w:val="24"/>
        </w:rPr>
      </w:pPr>
      <w:r>
        <w:rPr>
          <w:rFonts w:hint="eastAsia" w:ascii="宋体" w:hAnsi="宋体"/>
          <w:color w:val="auto"/>
          <w:sz w:val="24"/>
        </w:rPr>
        <w:t>2、截止时间：采购响应文件应于[</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color w:val="auto"/>
          <w:sz w:val="24"/>
          <w:u w:val="single"/>
        </w:rPr>
        <w:t>年</w:t>
      </w:r>
      <w:r>
        <w:rPr>
          <w:rFonts w:hint="eastAsia" w:ascii="宋体" w:hAnsi="宋体"/>
          <w:color w:val="auto"/>
          <w:sz w:val="24"/>
          <w:u w:val="single"/>
          <w:lang w:val="en-US" w:eastAsia="zh-CN"/>
        </w:rPr>
        <w:t>5</w:t>
      </w:r>
      <w:r>
        <w:rPr>
          <w:rFonts w:hint="eastAsia" w:ascii="宋体" w:hAnsi="宋体"/>
          <w:color w:val="auto"/>
          <w:sz w:val="24"/>
          <w:u w:val="single"/>
        </w:rPr>
        <w:t>月</w:t>
      </w:r>
      <w:r>
        <w:rPr>
          <w:rFonts w:hint="eastAsia" w:ascii="宋体" w:hAnsi="宋体"/>
          <w:color w:val="auto"/>
          <w:sz w:val="24"/>
          <w:u w:val="single"/>
          <w:lang w:val="en-US" w:eastAsia="zh-CN"/>
        </w:rPr>
        <w:t>31</w:t>
      </w:r>
      <w:r>
        <w:rPr>
          <w:rFonts w:hint="eastAsia" w:ascii="宋体" w:hAnsi="宋体"/>
          <w:color w:val="auto"/>
          <w:sz w:val="24"/>
          <w:u w:val="single"/>
        </w:rPr>
        <w:t>日]</w:t>
      </w:r>
      <w:r>
        <w:rPr>
          <w:rFonts w:hint="eastAsia" w:ascii="宋体" w:hAnsi="宋体"/>
          <w:color w:val="auto"/>
          <w:sz w:val="24"/>
          <w:u w:val="single"/>
          <w:lang w:eastAsia="zh-CN"/>
        </w:rPr>
        <w:t>上午</w:t>
      </w:r>
      <w:r>
        <w:rPr>
          <w:rFonts w:hint="eastAsia" w:ascii="宋体" w:hAnsi="宋体"/>
          <w:color w:val="auto"/>
          <w:sz w:val="24"/>
          <w:u w:val="single"/>
        </w:rPr>
        <w:t>[1</w:t>
      </w:r>
      <w:r>
        <w:rPr>
          <w:rFonts w:hint="eastAsia" w:ascii="宋体" w:hAnsi="宋体"/>
          <w:color w:val="auto"/>
          <w:sz w:val="24"/>
          <w:u w:val="single"/>
          <w:lang w:val="en-US" w:eastAsia="zh-CN"/>
        </w:rPr>
        <w:t>1</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w:t>
      </w:r>
      <w:r>
        <w:rPr>
          <w:rFonts w:hint="eastAsia" w:ascii="宋体" w:hAnsi="宋体"/>
          <w:b/>
          <w:color w:val="auto"/>
          <w:sz w:val="24"/>
          <w:lang w:eastAsia="zh-CN"/>
        </w:rPr>
        <w:t>，崇毅楼</w:t>
      </w:r>
      <w:r>
        <w:rPr>
          <w:rFonts w:hint="eastAsia" w:ascii="宋体" w:hAnsi="宋体"/>
          <w:b/>
          <w:color w:val="auto"/>
          <w:sz w:val="24"/>
          <w:lang w:val="en-US" w:eastAsia="zh-CN"/>
        </w:rPr>
        <w:t>8楼，</w:t>
      </w:r>
      <w:r>
        <w:rPr>
          <w:rFonts w:hint="eastAsia" w:ascii="宋体" w:hAnsi="宋体"/>
          <w:b/>
          <w:color w:val="auto"/>
          <w:sz w:val="24"/>
        </w:rPr>
        <w:t>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keepNext w:val="0"/>
        <w:keepLines w:val="0"/>
        <w:pageBreakBefore w:val="0"/>
        <w:widowControl w:val="0"/>
        <w:kinsoku/>
        <w:wordWrap/>
        <w:topLinePunct w:val="0"/>
        <w:bidi w:val="0"/>
        <w:snapToGrid/>
        <w:spacing w:line="460" w:lineRule="exact"/>
        <w:rPr>
          <w:rFonts w:hint="eastAsia" w:ascii="宋体" w:hAnsi="宋体" w:eastAsia="宋体" w:cs="Times New Roman"/>
          <w:kern w:val="2"/>
          <w:sz w:val="24"/>
          <w:szCs w:val="24"/>
          <w:lang w:val="en-US" w:eastAsia="zh-CN" w:bidi="ar-SA"/>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项目经办人及联系方式：黄老师 0592-7760153</w:t>
      </w:r>
    </w:p>
    <w:p>
      <w:pPr>
        <w:keepNext w:val="0"/>
        <w:keepLines w:val="0"/>
        <w:pageBreakBefore w:val="0"/>
        <w:widowControl w:val="0"/>
        <w:numPr>
          <w:ilvl w:val="0"/>
          <w:numId w:val="0"/>
        </w:numPr>
        <w:kinsoku/>
        <w:wordWrap/>
        <w:topLinePunct w:val="0"/>
        <w:bidi w:val="0"/>
        <w:snapToGrid/>
        <w:spacing w:line="460" w:lineRule="exact"/>
        <w:rPr>
          <w:rFonts w:hint="default" w:ascii="宋体" w:hAnsi="宋体" w:eastAsia="宋体"/>
          <w:sz w:val="24"/>
          <w:lang w:val="en-US" w:eastAsia="zh-CN"/>
        </w:rPr>
      </w:pPr>
      <w:r>
        <w:rPr>
          <w:rFonts w:hint="eastAsia" w:ascii="宋体" w:hAnsi="宋体"/>
          <w:sz w:val="24"/>
          <w:lang w:val="en-US" w:eastAsia="zh-CN"/>
        </w:rPr>
        <w:t>项目内容联系人：赖老师 0592-7760121</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both"/>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1"/>
        <w:tblW w:w="4998" w:type="pct"/>
        <w:tblInd w:w="0" w:type="dxa"/>
        <w:tblLayout w:type="autofit"/>
        <w:tblCellMar>
          <w:top w:w="0" w:type="dxa"/>
          <w:left w:w="108" w:type="dxa"/>
          <w:bottom w:w="0" w:type="dxa"/>
          <w:right w:w="108" w:type="dxa"/>
        </w:tblCellMar>
      </w:tblPr>
      <w:tblGrid>
        <w:gridCol w:w="3332"/>
        <w:gridCol w:w="4780"/>
        <w:gridCol w:w="1399"/>
      </w:tblGrid>
      <w:tr>
        <w:tblPrEx>
          <w:tblCellMar>
            <w:top w:w="0" w:type="dxa"/>
            <w:left w:w="108" w:type="dxa"/>
            <w:bottom w:w="0" w:type="dxa"/>
            <w:right w:w="108" w:type="dxa"/>
          </w:tblCellMar>
        </w:tblPrEx>
        <w:trPr>
          <w:trHeight w:val="497" w:hRule="atLeast"/>
        </w:trPr>
        <w:tc>
          <w:tcPr>
            <w:tcW w:w="17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73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r>
      <w:tr>
        <w:tblPrEx>
          <w:tblCellMar>
            <w:top w:w="0" w:type="dxa"/>
            <w:left w:w="108" w:type="dxa"/>
            <w:bottom w:w="0" w:type="dxa"/>
            <w:right w:w="108" w:type="dxa"/>
          </w:tblCellMar>
        </w:tblPrEx>
        <w:trPr>
          <w:trHeight w:val="871" w:hRule="atLeast"/>
        </w:trPr>
        <w:tc>
          <w:tcPr>
            <w:tcW w:w="1751"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校园共享单车</w:t>
            </w:r>
          </w:p>
        </w:tc>
        <w:tc>
          <w:tcPr>
            <w:tcW w:w="2512"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735"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eastAsia="zh-CN"/>
        </w:rPr>
        <w:t>交付</w:t>
      </w:r>
      <w:r>
        <w:rPr>
          <w:rFonts w:hint="eastAsia" w:ascii="宋体" w:hAnsi="宋体"/>
          <w:sz w:val="24"/>
        </w:rPr>
        <w:t>期：合同签定后的</w:t>
      </w:r>
      <w:r>
        <w:rPr>
          <w:rFonts w:hint="eastAsia" w:ascii="宋体" w:hAnsi="宋体"/>
          <w:sz w:val="24"/>
          <w:lang w:val="en-US" w:eastAsia="zh-CN"/>
        </w:rPr>
        <w:t>5</w:t>
      </w:r>
      <w:r>
        <w:rPr>
          <w:rFonts w:hint="eastAsia" w:ascii="宋体" w:hAnsi="宋体"/>
          <w:sz w:val="24"/>
        </w:rPr>
        <w:t>个日历日内提交采购人验收，供应商递交采购响应文件即视为对此已作出承诺。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2、响应供应商</w:t>
      </w:r>
      <w:r>
        <w:rPr>
          <w:rFonts w:hint="eastAsia" w:ascii="宋体" w:hAnsi="宋体"/>
          <w:sz w:val="24"/>
          <w:lang w:eastAsia="zh-CN"/>
        </w:rPr>
        <w:t>代表</w:t>
      </w:r>
      <w:r>
        <w:rPr>
          <w:rFonts w:hint="eastAsia" w:ascii="宋体" w:hAnsi="宋体"/>
          <w:sz w:val="24"/>
        </w:rPr>
        <w:t>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eastAsia="zh-CN"/>
        </w:rPr>
        <w:t>校园共享单车</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w:t>
      </w:r>
      <w:r>
        <w:rPr>
          <w:rFonts w:hint="eastAsia" w:ascii="宋体" w:hAnsi="宋体" w:cs="Arial"/>
          <w:sz w:val="24"/>
          <w:lang w:eastAsia="zh-CN"/>
        </w:rPr>
        <w:t>服务及日常运维过程中</w:t>
      </w:r>
      <w:r>
        <w:rPr>
          <w:rFonts w:hint="eastAsia" w:ascii="宋体" w:hAnsi="宋体" w:cs="Arial"/>
          <w:sz w:val="24"/>
        </w:rPr>
        <w:t>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sz w:val="24"/>
        </w:rPr>
      </w:pPr>
      <w:r>
        <w:rPr>
          <w:rFonts w:hint="eastAsia" w:ascii="宋体" w:hAnsi="宋体" w:cs="Arial"/>
          <w:sz w:val="24"/>
        </w:rPr>
        <w:t>6、成交供应商须严格按照采购文件及报价清单中的</w:t>
      </w:r>
      <w:r>
        <w:rPr>
          <w:rFonts w:hint="eastAsia" w:ascii="宋体" w:hAnsi="宋体" w:cs="Arial"/>
          <w:sz w:val="24"/>
          <w:lang w:eastAsia="zh-CN"/>
        </w:rPr>
        <w:t>服务</w:t>
      </w:r>
      <w:r>
        <w:rPr>
          <w:rFonts w:hint="eastAsia" w:ascii="宋体" w:hAnsi="宋体" w:cs="Arial"/>
          <w:sz w:val="24"/>
        </w:rPr>
        <w:t>要求提供校园共享单车服务。</w:t>
      </w:r>
      <w:r>
        <w:rPr>
          <w:rFonts w:hint="eastAsia" w:ascii="宋体" w:hAnsi="宋体" w:cs="Arial"/>
          <w:b/>
          <w:bCs/>
          <w:sz w:val="24"/>
        </w:rPr>
        <w:t>须提供承诺书。</w:t>
      </w:r>
    </w:p>
    <w:p>
      <w:pPr>
        <w:spacing w:line="360" w:lineRule="auto"/>
        <w:ind w:firstLine="480" w:firstLineChars="200"/>
        <w:rPr>
          <w:rFonts w:hint="eastAsia" w:ascii="宋体" w:hAnsi="宋体" w:cs="Arial"/>
          <w:sz w:val="24"/>
        </w:rPr>
      </w:pPr>
      <w:r>
        <w:rPr>
          <w:rFonts w:hint="eastAsia" w:ascii="宋体" w:hAnsi="宋体" w:cs="Arial"/>
          <w:sz w:val="24"/>
          <w:lang w:val="en-US" w:eastAsia="zh-CN"/>
        </w:rPr>
        <w:t>7、中标供应商承诺为厦门技师学院全体教职工提供免费骑行（不低于550人）。</w:t>
      </w:r>
      <w:r>
        <w:rPr>
          <w:rFonts w:hint="eastAsia" w:ascii="宋体" w:hAnsi="宋体" w:cs="Arial"/>
          <w:b/>
          <w:bCs/>
          <w:sz w:val="24"/>
        </w:rPr>
        <w:t>须提供承诺书。</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8、中标供应商应承诺，在我方提供教职工骑行账号至供应商处的7日内，对相应账号授予免费骑行权限。</w:t>
      </w:r>
      <w:r>
        <w:rPr>
          <w:rFonts w:hint="eastAsia" w:ascii="宋体" w:hAnsi="宋体" w:cs="Arial"/>
          <w:b/>
          <w:bCs/>
          <w:sz w:val="24"/>
        </w:rPr>
        <w:t>须提供承诺书。</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9、资格性、符合性所要求的其它相关信息。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维保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eastAsia="zh-CN"/>
        </w:rPr>
        <w:t>二次采购中</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hint="eastAsia"/>
          <w:lang w:eastAsia="zh-CN"/>
        </w:rPr>
      </w:pPr>
      <w:r>
        <w:rPr>
          <w:rFonts w:hint="eastAsia" w:ascii="宋体" w:hAnsi="宋体"/>
          <w:bCs/>
          <w:sz w:val="24"/>
          <w:highlight w:val="none"/>
        </w:rPr>
        <w:t>2、评审小组对通过资格性、符合性审查的供应商的最后报价进行审查，</w:t>
      </w:r>
      <w:r>
        <w:rPr>
          <w:rFonts w:hint="eastAsia" w:ascii="宋体" w:hAnsi="宋体"/>
          <w:bCs/>
          <w:sz w:val="24"/>
          <w:highlight w:val="none"/>
          <w:lang w:val="en-US" w:eastAsia="zh-CN"/>
        </w:rPr>
        <w:t>资质</w:t>
      </w:r>
      <w:r>
        <w:rPr>
          <w:rFonts w:hint="eastAsia" w:ascii="宋体" w:hAnsi="宋体"/>
          <w:bCs/>
          <w:sz w:val="24"/>
          <w:highlight w:val="none"/>
        </w:rPr>
        <w:t>和服务</w:t>
      </w:r>
      <w:r>
        <w:rPr>
          <w:rFonts w:hint="eastAsia" w:ascii="宋体" w:hAnsi="宋体"/>
          <w:bCs/>
          <w:sz w:val="24"/>
          <w:highlight w:val="none"/>
          <w:lang w:val="en-US" w:eastAsia="zh-CN"/>
        </w:rPr>
        <w:t>方案</w:t>
      </w:r>
      <w:r>
        <w:rPr>
          <w:rFonts w:hint="eastAsia" w:ascii="宋体" w:hAnsi="宋体"/>
          <w:bCs/>
          <w:sz w:val="24"/>
          <w:highlight w:val="none"/>
        </w:rPr>
        <w:t>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w:t>
      </w:r>
      <w:r>
        <w:rPr>
          <w:rFonts w:hint="eastAsia" w:ascii="宋体" w:hAnsi="宋体"/>
          <w:color w:val="000000"/>
          <w:sz w:val="24"/>
          <w:szCs w:val="18"/>
          <w:lang w:val="en-US" w:eastAsia="zh-CN"/>
        </w:rPr>
        <w:t>提交</w:t>
      </w:r>
      <w:r>
        <w:rPr>
          <w:rFonts w:hint="eastAsia" w:ascii="宋体" w:hAnsi="宋体" w:cs="Arial"/>
          <w:color w:val="000000"/>
          <w:sz w:val="24"/>
        </w:rPr>
        <w:t>响应文件</w:t>
      </w:r>
      <w:r>
        <w:rPr>
          <w:rFonts w:hint="eastAsia" w:ascii="宋体" w:hAnsi="宋体"/>
          <w:color w:val="000000"/>
          <w:sz w:val="24"/>
          <w:szCs w:val="18"/>
        </w:rPr>
        <w:t>的供应商进行</w:t>
      </w:r>
      <w:r>
        <w:rPr>
          <w:rFonts w:hint="eastAsia" w:ascii="宋体" w:hAnsi="宋体"/>
          <w:color w:val="000000"/>
          <w:sz w:val="24"/>
          <w:szCs w:val="18"/>
          <w:lang w:val="en-US" w:eastAsia="zh-CN"/>
        </w:rPr>
        <w:t>评分</w:t>
      </w:r>
      <w:r>
        <w:rPr>
          <w:rFonts w:hint="eastAsia" w:ascii="宋体" w:hAnsi="宋体"/>
          <w:color w:val="000000"/>
          <w:sz w:val="24"/>
          <w:szCs w:val="18"/>
        </w:rPr>
        <w:t>，综合比较与评价</w:t>
      </w:r>
      <w:r>
        <w:rPr>
          <w:rFonts w:hint="eastAsia" w:ascii="宋体" w:hAnsi="宋体"/>
          <w:color w:val="000000"/>
          <w:sz w:val="24"/>
          <w:szCs w:val="18"/>
          <w:lang w:eastAsia="zh-CN"/>
        </w:rPr>
        <w:t>：</w:t>
      </w:r>
    </w:p>
    <w:tbl>
      <w:tblPr>
        <w:tblStyle w:val="11"/>
        <w:tblpPr w:leftFromText="180" w:rightFromText="180" w:vertAnchor="text" w:horzAnchor="page" w:tblpXSpec="center" w:tblpY="376"/>
        <w:tblOverlap w:val="never"/>
        <w:tblW w:w="9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710"/>
        <w:gridCol w:w="1109"/>
        <w:gridCol w:w="5798"/>
        <w:gridCol w:w="1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序号</w:t>
            </w:r>
          </w:p>
        </w:tc>
        <w:tc>
          <w:tcPr>
            <w:tcW w:w="18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评审项</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评分标准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企业综合实力</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认证体系</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ascii="宋体" w:hAnsi="宋体" w:eastAsia="宋体" w:cs="宋体"/>
                <w:kern w:val="0"/>
                <w:sz w:val="24"/>
                <w:szCs w:val="24"/>
              </w:rPr>
              <w:t>投标人具有质量管理体系认证、环境管理体系认证，每项得1分，满分</w:t>
            </w:r>
            <w:r>
              <w:rPr>
                <w:rFonts w:hint="eastAsia" w:ascii="宋体" w:hAnsi="宋体" w:eastAsia="宋体" w:cs="宋体"/>
                <w:kern w:val="0"/>
                <w:sz w:val="24"/>
                <w:szCs w:val="24"/>
                <w:lang w:val="en-US" w:eastAsia="zh-CN"/>
              </w:rPr>
              <w:t>2</w:t>
            </w:r>
            <w:r>
              <w:rPr>
                <w:rFonts w:ascii="宋体" w:hAnsi="宋体" w:eastAsia="宋体" w:cs="宋体"/>
                <w:kern w:val="0"/>
                <w:sz w:val="24"/>
                <w:szCs w:val="24"/>
              </w:rPr>
              <w:t>分。 注：需提供</w:t>
            </w:r>
            <w:r>
              <w:rPr>
                <w:rFonts w:hint="eastAsia" w:asciiTheme="minorEastAsia" w:hAnsiTheme="minorEastAsia" w:eastAsiaTheme="minorEastAsia" w:cstheme="minorEastAsia"/>
                <w:color w:val="auto"/>
                <w:kern w:val="2"/>
                <w:sz w:val="24"/>
                <w:szCs w:val="24"/>
                <w:lang w:val="en-US" w:eastAsia="zh-CN" w:bidi="ar-SA"/>
              </w:rPr>
              <w:t>证书复印件加盖投标人公章，否则不予计分。</w:t>
            </w:r>
            <w:bookmarkStart w:id="19" w:name="_GoBack"/>
            <w:bookmarkEnd w:id="19"/>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案例业绩</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具备同类型学校项目合作经验并获得校方优秀或满意的评价。投标人每提供1份2018年以来高校同类共享单车运营项目合同及校方评价优秀或满意的服务评价证明的得1分，本项满分3分，合同签署方名称须与投标人名称一致。须合同关键页及校方服务评价证明文件复印件加盖投标人公章，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产品及技术</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产品合规</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投标人所投单车产品系列需符合GB3565-2005自行车安全要求。提供单车检测报告复印件加盖投标人公章得3分，否则不予计分。本项最高得分3分。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骑行保险</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投标人需为每一位骑行用户购买骑行保险。提供保险合同复印件加盖投标人公章得3分，否则不予计分。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骑行免押金</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投标人需为骑行用户提供免押金骑行方案。能够提供免押金骑行方案得3分，其他不得分。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w:t>
            </w: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技术能力</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具备共享单车的研发、出行服务系统的开发、销售的知识产权管理体系，并获得国家发明专利或实用新型专利或外观专利证书（内容必须是与本项目产品相关），投标人每提供知识产权管理体系认证证书或每提供一个专利证书得1分，本项最高得3分。投标文件中提供上述证书扫描件及知识产权管理体系认证证书在全国认证认可信息公共服务平台网站证书信息查询截图加盖投标人公章，持证人名称须与投标人名称一致，否则不予计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w:t>
            </w:r>
          </w:p>
        </w:tc>
        <w:tc>
          <w:tcPr>
            <w:tcW w:w="71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管理及服务</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校方监管方案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提供校方专属的监管平台，提供其他高校系统登陆网址、功能界面。可展示校内所投车辆数量及骑行次数、骑行潮汐轨迹、规范停车区等。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运营环境建设方案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针对本项目情况，在正式运营前进行相关运营环境的建设，包括但不限于划定停车位，车辆投放计划。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日常运维管理方案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针对本项目情况，提供完整的日常运维管理方案。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售后服务方案</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需针对本项目情况，提供完整的售后服务方案。方案详细具体、针对性强、可行性高，得3分；方案较为详细具体、针对性较强、可行性较高，得2分；方案基本完整、有一定针对性、可行性一般，得1分；方案不完整、缺乏针对性、可行性差，得0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费用承诺</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投标人须承诺</w:t>
            </w:r>
            <w:r>
              <w:rPr>
                <w:rFonts w:hint="eastAsia" w:ascii="宋体" w:hAnsi="宋体" w:eastAsia="宋体" w:cs="Times New Roman"/>
                <w:kern w:val="2"/>
                <w:sz w:val="24"/>
                <w:szCs w:val="24"/>
                <w:lang w:val="en-US" w:eastAsia="zh-CN" w:bidi="ar-SA"/>
              </w:rPr>
              <w:t>车辆投入、运营服务人员工资、车辆维修等运营成本由成交供应商自行承担。</w:t>
            </w:r>
            <w:r>
              <w:rPr>
                <w:rFonts w:ascii="宋体" w:hAnsi="宋体" w:eastAsia="宋体" w:cs="宋体"/>
                <w:kern w:val="0"/>
                <w:sz w:val="24"/>
                <w:szCs w:val="24"/>
              </w:rPr>
              <w:t>完全响应的得</w:t>
            </w:r>
            <w:r>
              <w:rPr>
                <w:rFonts w:hint="eastAsia" w:ascii="宋体" w:hAnsi="宋体" w:cs="宋体"/>
                <w:kern w:val="0"/>
                <w:sz w:val="24"/>
                <w:szCs w:val="24"/>
                <w:lang w:val="en-US" w:eastAsia="zh-CN"/>
              </w:rPr>
              <w:t>2</w:t>
            </w:r>
            <w:r>
              <w:rPr>
                <w:rFonts w:ascii="宋体" w:hAnsi="宋体" w:eastAsia="宋体" w:cs="宋体"/>
                <w:kern w:val="0"/>
                <w:sz w:val="24"/>
                <w:szCs w:val="24"/>
              </w:rPr>
              <w:t>分，</w:t>
            </w:r>
            <w:r>
              <w:rPr>
                <w:rFonts w:hint="eastAsia" w:ascii="宋体" w:hAnsi="宋体" w:cs="Times New Roman"/>
                <w:kern w:val="2"/>
                <w:sz w:val="24"/>
                <w:szCs w:val="24"/>
                <w:lang w:val="en-US" w:eastAsia="zh-CN" w:bidi="ar-SA"/>
              </w:rPr>
              <w:t>需提供承诺书，</w:t>
            </w:r>
            <w:r>
              <w:rPr>
                <w:rFonts w:ascii="宋体" w:hAnsi="宋体" w:eastAsia="宋体" w:cs="宋体"/>
                <w:kern w:val="0"/>
                <w:sz w:val="24"/>
                <w:szCs w:val="24"/>
              </w:rPr>
              <w:t>未提供或负偏离不得分。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w:t>
            </w:r>
          </w:p>
        </w:tc>
        <w:tc>
          <w:tcPr>
            <w:tcW w:w="710" w:type="dxa"/>
            <w:vMerge w:val="continue"/>
            <w:tcBorders>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Arial"/>
                <w:kern w:val="2"/>
                <w:sz w:val="24"/>
                <w:szCs w:val="24"/>
                <w:lang w:val="en-US" w:eastAsia="zh-CN" w:bidi="ar-SA"/>
              </w:rPr>
              <w:t>教职工免费骑行</w:t>
            </w:r>
            <w:r>
              <w:rPr>
                <w:rFonts w:hint="eastAsia" w:ascii="宋体" w:hAnsi="宋体" w:cs="Arial"/>
                <w:kern w:val="2"/>
                <w:sz w:val="24"/>
                <w:szCs w:val="24"/>
                <w:lang w:val="en-US" w:eastAsia="zh-CN" w:bidi="ar-SA"/>
              </w:rPr>
              <w:t>账号数量</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根据响应供应商</w:t>
            </w:r>
            <w:r>
              <w:rPr>
                <w:rFonts w:hint="eastAsia" w:asciiTheme="minorEastAsia" w:hAnsiTheme="minorEastAsia" w:eastAsiaTheme="minorEastAsia" w:cstheme="minorEastAsia"/>
                <w:color w:val="auto"/>
                <w:sz w:val="24"/>
                <w:szCs w:val="24"/>
                <w:lang w:eastAsia="zh-CN"/>
              </w:rPr>
              <w:t>所</w:t>
            </w:r>
            <w:r>
              <w:rPr>
                <w:rFonts w:hint="eastAsia" w:ascii="宋体" w:hAnsi="宋体" w:eastAsia="宋体" w:cs="Arial"/>
                <w:kern w:val="2"/>
                <w:sz w:val="24"/>
                <w:szCs w:val="24"/>
                <w:lang w:val="en-US" w:eastAsia="zh-CN" w:bidi="ar-SA"/>
              </w:rPr>
              <w:t>承诺为厦门技师学院教职工提供免费骑行</w:t>
            </w:r>
            <w:r>
              <w:rPr>
                <w:rFonts w:hint="eastAsia" w:ascii="宋体" w:hAnsi="宋体" w:cs="Arial"/>
                <w:kern w:val="2"/>
                <w:sz w:val="24"/>
                <w:szCs w:val="24"/>
                <w:lang w:val="en-US" w:eastAsia="zh-CN" w:bidi="ar-SA"/>
              </w:rPr>
              <w:t>账号的数量</w:t>
            </w:r>
            <w:r>
              <w:rPr>
                <w:rFonts w:hint="eastAsia" w:asciiTheme="minorEastAsia" w:hAnsiTheme="minorEastAsia" w:eastAsiaTheme="minorEastAsia" w:cstheme="minorEastAsia"/>
                <w:color w:val="auto"/>
                <w:sz w:val="24"/>
                <w:szCs w:val="24"/>
                <w:lang w:val="en-US" w:eastAsia="zh-CN"/>
              </w:rPr>
              <w:t>进行评价：按所提供的</w:t>
            </w:r>
            <w:r>
              <w:rPr>
                <w:rFonts w:hint="eastAsia" w:ascii="宋体" w:hAnsi="宋体" w:eastAsia="宋体" w:cs="Arial"/>
                <w:kern w:val="2"/>
                <w:sz w:val="24"/>
                <w:szCs w:val="24"/>
                <w:lang w:val="en-US" w:eastAsia="zh-CN" w:bidi="ar-SA"/>
              </w:rPr>
              <w:t>免费骑行</w:t>
            </w:r>
            <w:r>
              <w:rPr>
                <w:rFonts w:hint="eastAsia" w:ascii="宋体" w:hAnsi="宋体" w:cs="Arial"/>
                <w:kern w:val="2"/>
                <w:sz w:val="24"/>
                <w:szCs w:val="24"/>
                <w:lang w:val="en-US" w:eastAsia="zh-CN" w:bidi="ar-SA"/>
              </w:rPr>
              <w:t>账号数量</w:t>
            </w:r>
            <w:r>
              <w:rPr>
                <w:rFonts w:hint="eastAsia" w:asciiTheme="minorEastAsia" w:hAnsiTheme="minorEastAsia" w:eastAsiaTheme="minorEastAsia" w:cstheme="minorEastAsia"/>
                <w:color w:val="auto"/>
                <w:sz w:val="24"/>
                <w:szCs w:val="24"/>
                <w:lang w:val="en-US" w:eastAsia="zh-CN"/>
              </w:rPr>
              <w:t>由高至低排出各有效投标人的名次，排名第一得36分，第二得33分，第三得30分，第四得27分，以此类推，排名每降低一名，得分减少3分。所提供的</w:t>
            </w:r>
            <w:r>
              <w:rPr>
                <w:rFonts w:hint="eastAsia" w:ascii="宋体" w:hAnsi="宋体" w:eastAsia="宋体" w:cs="Arial"/>
                <w:kern w:val="2"/>
                <w:sz w:val="24"/>
                <w:szCs w:val="24"/>
                <w:lang w:val="en-US" w:eastAsia="zh-CN" w:bidi="ar-SA"/>
              </w:rPr>
              <w:t>免费骑行</w:t>
            </w:r>
            <w:r>
              <w:rPr>
                <w:rFonts w:hint="eastAsia" w:ascii="宋体" w:hAnsi="宋体" w:cs="Arial"/>
                <w:kern w:val="2"/>
                <w:sz w:val="24"/>
                <w:szCs w:val="24"/>
                <w:lang w:val="en-US" w:eastAsia="zh-CN" w:bidi="ar-SA"/>
              </w:rPr>
              <w:t>账号数量不得低于550个。</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14</w:t>
            </w:r>
          </w:p>
        </w:tc>
        <w:tc>
          <w:tcPr>
            <w:tcW w:w="71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auto"/>
                <w:kern w:val="2"/>
                <w:sz w:val="24"/>
                <w:szCs w:val="24"/>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Arial"/>
                <w:kern w:val="2"/>
                <w:sz w:val="24"/>
                <w:szCs w:val="24"/>
                <w:lang w:val="en-US" w:eastAsia="zh-CN" w:bidi="ar-SA"/>
              </w:rPr>
            </w:pPr>
            <w:r>
              <w:rPr>
                <w:rFonts w:hint="eastAsia" w:ascii="宋体" w:hAnsi="宋体" w:cs="Arial"/>
                <w:kern w:val="2"/>
                <w:sz w:val="24"/>
                <w:szCs w:val="24"/>
                <w:lang w:val="en-US" w:eastAsia="zh-CN" w:bidi="ar-SA"/>
              </w:rPr>
              <w:t>针对本院学生专属优惠</w:t>
            </w:r>
          </w:p>
        </w:tc>
        <w:tc>
          <w:tcPr>
            <w:tcW w:w="57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根据响应供应商所承诺为针对厦门技师学院</w:t>
            </w:r>
            <w:r>
              <w:rPr>
                <w:rFonts w:hint="eastAsia" w:asciiTheme="minorEastAsia" w:hAnsiTheme="minorEastAsia" w:eastAsiaTheme="minorEastAsia" w:cstheme="minorEastAsia"/>
                <w:color w:val="auto"/>
                <w:sz w:val="24"/>
                <w:szCs w:val="24"/>
                <w:lang w:eastAsia="zh-CN"/>
              </w:rPr>
              <w:t>学生设置专属活动的骑行费用优惠力度进行评价：按所提供的活动优惠力度由高至低排出各有效投标人的名次，排名第一得3</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分，第二得</w:t>
            </w:r>
            <w:r>
              <w:rPr>
                <w:rFonts w:hint="eastAsia" w:asciiTheme="minorEastAsia" w:hAnsiTheme="minorEastAsia" w:eastAsiaTheme="minorEastAsia" w:cstheme="minorEastAsia"/>
                <w:color w:val="auto"/>
                <w:sz w:val="24"/>
                <w:szCs w:val="24"/>
                <w:lang w:val="en-US" w:eastAsia="zh-CN"/>
              </w:rPr>
              <w:t>30</w:t>
            </w:r>
            <w:r>
              <w:rPr>
                <w:rFonts w:hint="eastAsia" w:asciiTheme="minorEastAsia" w:hAnsiTheme="minorEastAsia" w:eastAsiaTheme="minorEastAsia" w:cstheme="minorEastAsia"/>
                <w:color w:val="auto"/>
                <w:sz w:val="24"/>
                <w:szCs w:val="24"/>
                <w:lang w:eastAsia="zh-CN"/>
              </w:rPr>
              <w:t>分，第三得2</w:t>
            </w: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分，第四得2</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分，以此类推，排名每降低一名，得分减少3分。为本院学生所提供的专属活动中校内骑行费用不高于厦门市计费标准价格。</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30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总分</w:t>
            </w:r>
          </w:p>
        </w:tc>
        <w:tc>
          <w:tcPr>
            <w:tcW w:w="14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100</w:t>
            </w:r>
          </w:p>
        </w:tc>
      </w:tr>
    </w:tbl>
    <w:p>
      <w:pPr>
        <w:pStyle w:val="2"/>
        <w:rPr>
          <w:rFonts w:hint="eastAsia"/>
          <w:lang w:eastAsia="zh-CN"/>
        </w:rPr>
      </w:pPr>
    </w:p>
    <w:p>
      <w:pPr>
        <w:spacing w:line="360" w:lineRule="auto"/>
        <w:ind w:firstLine="480" w:firstLineChars="200"/>
        <w:rPr>
          <w:rFonts w:hint="eastAsia" w:ascii="宋体" w:hAnsi="宋体" w:eastAsia="宋体" w:cs="Arial"/>
          <w:sz w:val="24"/>
          <w:lang w:val="en-US" w:eastAsia="zh-CN"/>
        </w:rPr>
      </w:pPr>
      <w:r>
        <w:rPr>
          <w:rFonts w:hint="eastAsia" w:ascii="宋体" w:hAnsi="宋体" w:eastAsia="宋体" w:cs="Arial"/>
          <w:sz w:val="24"/>
        </w:rPr>
        <w:t>评审小组通过算术平均计算各</w:t>
      </w:r>
      <w:r>
        <w:rPr>
          <w:rFonts w:hint="eastAsia" w:ascii="宋体" w:hAnsi="宋体" w:eastAsia="宋体" w:cs="Arial"/>
          <w:sz w:val="24"/>
          <w:lang w:eastAsia="zh-CN"/>
        </w:rPr>
        <w:t>评分项</w:t>
      </w:r>
      <w:r>
        <w:rPr>
          <w:rFonts w:hint="eastAsia" w:ascii="宋体" w:hAnsi="宋体" w:eastAsia="宋体" w:cs="Arial"/>
          <w:sz w:val="24"/>
        </w:rPr>
        <w:t>的汇总得分，计算</w:t>
      </w:r>
      <w:r>
        <w:rPr>
          <w:rFonts w:hint="eastAsia" w:ascii="宋体" w:hAnsi="宋体" w:eastAsia="宋体" w:cs="Arial"/>
          <w:sz w:val="24"/>
          <w:lang w:eastAsia="zh-CN"/>
        </w:rPr>
        <w:t>单项得</w:t>
      </w:r>
      <w:r>
        <w:rPr>
          <w:rFonts w:hint="eastAsia" w:ascii="宋体" w:hAnsi="宋体" w:eastAsia="宋体" w:cs="Arial"/>
          <w:sz w:val="24"/>
        </w:rPr>
        <w:t>分时，经四舍五入后保留三位小数，计算供应商综合得分时，经四舍五入后保留两位小数。</w:t>
      </w:r>
      <w:r>
        <w:rPr>
          <w:rFonts w:hint="eastAsia" w:ascii="宋体" w:hAnsi="宋体" w:eastAsia="宋体" w:cs="Arial"/>
          <w:sz w:val="24"/>
          <w:lang w:eastAsia="zh-CN"/>
        </w:rPr>
        <w:t>按照</w:t>
      </w:r>
      <w:r>
        <w:rPr>
          <w:rFonts w:hint="eastAsia" w:ascii="宋体" w:hAnsi="宋体" w:eastAsia="宋体" w:cs="Arial"/>
          <w:sz w:val="24"/>
          <w:lang w:val="en-US" w:eastAsia="zh-CN"/>
        </w:rPr>
        <w:t>综合得分最高</w:t>
      </w:r>
      <w:r>
        <w:rPr>
          <w:rFonts w:hint="eastAsia" w:ascii="宋体" w:hAnsi="宋体" w:eastAsia="宋体" w:cs="Arial"/>
          <w:sz w:val="24"/>
        </w:rPr>
        <w:t>的原则确定最终的供应商</w:t>
      </w:r>
      <w:r>
        <w:rPr>
          <w:rFonts w:hint="eastAsia" w:ascii="宋体" w:hAnsi="宋体" w:eastAsia="宋体" w:cs="Arial"/>
          <w:sz w:val="24"/>
          <w:lang w:eastAsia="zh-CN"/>
        </w:rPr>
        <w:t>。</w:t>
      </w:r>
      <w:r>
        <w:rPr>
          <w:rFonts w:hint="eastAsia" w:ascii="宋体" w:hAnsi="宋体" w:cs="Arial"/>
          <w:sz w:val="24"/>
          <w:lang w:eastAsia="zh-CN"/>
        </w:rPr>
        <w:t>若出现供应商综合得分相等</w:t>
      </w:r>
      <w:r>
        <w:rPr>
          <w:rFonts w:hint="eastAsia" w:ascii="宋体" w:hAnsi="宋体" w:eastAsia="宋体" w:cs="Arial"/>
          <w:sz w:val="24"/>
          <w:lang w:eastAsia="zh-CN"/>
        </w:rPr>
        <w:t>的情况，</w:t>
      </w:r>
      <w:r>
        <w:rPr>
          <w:rFonts w:hint="eastAsia" w:ascii="宋体" w:hAnsi="宋体" w:eastAsia="宋体" w:cs="Arial"/>
          <w:sz w:val="24"/>
        </w:rPr>
        <w:t>采取随机抽取的方式确定</w:t>
      </w:r>
      <w:r>
        <w:rPr>
          <w:rFonts w:hint="eastAsia" w:ascii="宋体" w:hAnsi="宋体" w:eastAsia="宋体" w:cs="Arial"/>
          <w:sz w:val="24"/>
          <w:lang w:eastAsia="zh-CN"/>
        </w:rPr>
        <w:t>中标供应商。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8" w:name="_Toc363578334"/>
      <w:bookmarkStart w:id="9" w:name="_Toc415216386"/>
      <w:bookmarkStart w:id="10" w:name="_Toc361840722"/>
      <w:bookmarkStart w:id="11" w:name="_Toc363578335"/>
      <w:bookmarkStart w:id="12" w:name="_Toc415216389"/>
      <w:bookmarkStart w:id="13"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rPr>
      </w:pPr>
      <w:r>
        <w:rPr>
          <w:rFonts w:hint="eastAsia" w:ascii="宋体" w:hAnsi="宋体" w:cs="Arial"/>
          <w:sz w:val="24"/>
        </w:rPr>
        <w:t>2、所有</w:t>
      </w:r>
      <w:r>
        <w:rPr>
          <w:rFonts w:hint="eastAsia" w:ascii="宋体" w:hAnsi="宋体" w:cs="Arial"/>
          <w:sz w:val="24"/>
          <w:lang w:eastAsia="zh-CN"/>
        </w:rPr>
        <w:t>服务</w:t>
      </w:r>
      <w:r>
        <w:rPr>
          <w:rFonts w:hint="eastAsia" w:ascii="宋体" w:hAnsi="宋体" w:cs="Arial"/>
          <w:sz w:val="24"/>
        </w:rPr>
        <w:t>必须</w:t>
      </w:r>
      <w:r>
        <w:rPr>
          <w:rFonts w:hint="eastAsia" w:ascii="宋体" w:hAnsi="宋体" w:cs="Arial"/>
          <w:sz w:val="24"/>
          <w:highlight w:val="none"/>
          <w:lang w:val="en-US" w:eastAsia="zh-CN"/>
        </w:rPr>
        <w:t>与项目清单所列要求一致，以保证服务质量。</w:t>
      </w:r>
      <w:r>
        <w:rPr>
          <w:rFonts w:hint="eastAsia" w:ascii="宋体" w:hAnsi="宋体" w:cs="Arial"/>
          <w:sz w:val="24"/>
        </w:rPr>
        <w:t>同时由于使用成交供</w:t>
      </w:r>
    </w:p>
    <w:p>
      <w:pPr>
        <w:spacing w:line="360" w:lineRule="auto"/>
        <w:jc w:val="left"/>
        <w:rPr>
          <w:rFonts w:ascii="宋体" w:hAnsi="宋体" w:cs="Arial"/>
          <w:sz w:val="24"/>
        </w:rPr>
      </w:pPr>
      <w:r>
        <w:rPr>
          <w:rFonts w:hint="eastAsia" w:ascii="宋体" w:hAnsi="宋体" w:cs="Arial"/>
          <w:sz w:val="24"/>
        </w:rPr>
        <w:t>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b/>
          <w:sz w:val="24"/>
        </w:rPr>
      </w:pPr>
      <w:r>
        <w:rPr>
          <w:rFonts w:hint="eastAsia" w:ascii="宋体" w:hAnsi="宋体" w:cs="Arial"/>
          <w:sz w:val="24"/>
        </w:rPr>
        <w:t>4、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w:t>
      </w:r>
      <w:r>
        <w:rPr>
          <w:rFonts w:hint="eastAsia" w:ascii="宋体" w:hAnsi="宋体"/>
          <w:b/>
          <w:sz w:val="24"/>
          <w:lang w:eastAsia="zh-CN"/>
        </w:rPr>
        <w:t>服务</w:t>
      </w:r>
      <w:r>
        <w:rPr>
          <w:rFonts w:hint="eastAsia" w:ascii="宋体" w:hAnsi="宋体"/>
          <w:b/>
          <w:sz w:val="24"/>
        </w:rPr>
        <w:t>期</w:t>
      </w:r>
    </w:p>
    <w:p>
      <w:pPr>
        <w:spacing w:line="360" w:lineRule="auto"/>
        <w:ind w:firstLine="480" w:firstLineChars="200"/>
        <w:rPr>
          <w:rFonts w:hint="eastAsia" w:ascii="宋体" w:hAnsi="宋体" w:cs="Arial"/>
          <w:sz w:val="24"/>
        </w:rPr>
      </w:pPr>
      <w:r>
        <w:rPr>
          <w:rFonts w:hint="eastAsia" w:ascii="宋体" w:hAnsi="宋体" w:cs="Arial"/>
          <w:sz w:val="24"/>
          <w:highlight w:val="none"/>
        </w:rPr>
        <w:t>本项目</w:t>
      </w:r>
      <w:r>
        <w:rPr>
          <w:rFonts w:hint="eastAsia" w:ascii="宋体" w:hAnsi="宋体" w:cs="Arial"/>
          <w:sz w:val="24"/>
          <w:highlight w:val="none"/>
          <w:lang w:eastAsia="zh-CN"/>
        </w:rPr>
        <w:t>服务</w:t>
      </w:r>
      <w:r>
        <w:rPr>
          <w:rFonts w:hint="eastAsia" w:ascii="宋体" w:hAnsi="宋体" w:cs="Arial"/>
          <w:sz w:val="24"/>
          <w:highlight w:val="none"/>
          <w:lang w:val="en-US" w:eastAsia="zh-CN"/>
        </w:rPr>
        <w:t>期限</w:t>
      </w:r>
      <w:r>
        <w:rPr>
          <w:rFonts w:hint="eastAsia" w:ascii="宋体" w:hAnsi="宋体" w:cs="Arial"/>
          <w:sz w:val="24"/>
          <w:highlight w:val="none"/>
          <w:lang w:eastAsia="zh-CN"/>
        </w:rPr>
        <w:t>为</w:t>
      </w:r>
      <w:r>
        <w:rPr>
          <w:rFonts w:hint="eastAsia" w:ascii="宋体" w:hAnsi="宋体" w:cs="Arial"/>
          <w:sz w:val="24"/>
          <w:highlight w:val="none"/>
          <w:lang w:val="en-US" w:eastAsia="zh-CN"/>
        </w:rPr>
        <w:t>三年</w:t>
      </w:r>
      <w:r>
        <w:rPr>
          <w:rFonts w:hint="eastAsia" w:ascii="宋体" w:hAnsi="宋体" w:cs="Arial"/>
          <w:sz w:val="24"/>
          <w:highlight w:val="none"/>
          <w:lang w:eastAsia="zh-CN"/>
        </w:rPr>
        <w:t>，</w:t>
      </w:r>
      <w:r>
        <w:rPr>
          <w:rFonts w:hint="eastAsia" w:ascii="宋体" w:hAnsi="宋体" w:cs="Arial"/>
          <w:sz w:val="24"/>
          <w:highlight w:val="none"/>
          <w:lang w:val="en-US" w:eastAsia="zh-CN"/>
        </w:rPr>
        <w:t>合同一签三年，采购人对中标商提供的服务每年进行考核评价（考核评价办法根据服务要求和实际服务情况事前协商，允许动态调整），考核评价不合格的，中止合同。</w:t>
      </w:r>
      <w:r>
        <w:rPr>
          <w:rFonts w:hint="eastAsia" w:ascii="宋体" w:hAnsi="宋体" w:cs="Arial"/>
          <w:sz w:val="24"/>
          <w:highlight w:val="none"/>
        </w:rPr>
        <w:t>服</w:t>
      </w:r>
      <w:r>
        <w:rPr>
          <w:rFonts w:hint="eastAsia" w:ascii="宋体" w:hAnsi="宋体" w:cs="Arial"/>
          <w:sz w:val="24"/>
        </w:rPr>
        <w:t>务期限自双方签订服务合同之日起计算</w:t>
      </w:r>
      <w:r>
        <w:rPr>
          <w:rFonts w:hint="eastAsia" w:ascii="宋体" w:hAnsi="宋体" w:cs="Arial"/>
          <w:sz w:val="24"/>
          <w:lang w:eastAsia="zh-CN"/>
        </w:rPr>
        <w:t>。中标方</w:t>
      </w:r>
      <w:r>
        <w:rPr>
          <w:rFonts w:hint="eastAsia" w:ascii="宋体" w:hAnsi="宋体" w:cs="Arial"/>
          <w:sz w:val="24"/>
        </w:rPr>
        <w:t>服务内容与质量等如未达到采购人要求，采购人有权提前解约合同。</w:t>
      </w:r>
    </w:p>
    <w:p>
      <w:pPr>
        <w:spacing w:line="360" w:lineRule="auto"/>
        <w:ind w:firstLine="480" w:firstLineChars="200"/>
        <w:rPr>
          <w:rFonts w:hint="eastAsia" w:ascii="宋体" w:hAnsi="宋体" w:cs="Arial"/>
          <w:sz w:val="24"/>
          <w:lang w:val="en-US" w:eastAsia="zh-CN"/>
        </w:rPr>
      </w:pPr>
      <w:r>
        <w:rPr>
          <w:rFonts w:hint="eastAsia" w:ascii="宋体" w:hAnsi="宋体" w:cs="Arial"/>
          <w:sz w:val="24"/>
          <w:lang w:val="en-US" w:eastAsia="zh-CN"/>
        </w:rPr>
        <w:t>在履行合同过程中，如果中标人遇到不能按时提供服务的情况，应及时以书面形式将不能按时提供服务的理由、延误时间通知采购人，采购人在收到中标人通知后，应进行分析，如果同意，可通过修改合同，酌情延长服务时间。</w:t>
      </w:r>
    </w:p>
    <w:p>
      <w:pPr>
        <w:spacing w:line="360" w:lineRule="auto"/>
        <w:jc w:val="left"/>
        <w:rPr>
          <w:rFonts w:ascii="宋体" w:hAnsi="宋体"/>
          <w:b/>
          <w:sz w:val="24"/>
        </w:rPr>
      </w:pPr>
      <w:r>
        <w:rPr>
          <w:rFonts w:hint="eastAsia" w:ascii="宋体" w:hAnsi="宋体"/>
          <w:b/>
          <w:sz w:val="24"/>
        </w:rPr>
        <w:t>六、合同签订</w:t>
      </w:r>
      <w:bookmarkEnd w:id="11"/>
      <w:bookmarkEnd w:id="12"/>
      <w:bookmarkEnd w:id="13"/>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4"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bookmarkEnd w:id="6"/>
    <w:bookmarkEnd w:id="7"/>
    <w:bookmarkEnd w:id="14"/>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5" w:name="_Toc398284535"/>
      <w:bookmarkStart w:id="16" w:name="_Toc431190639"/>
      <w:bookmarkStart w:id="17" w:name="_Toc398504591"/>
      <w:bookmarkStart w:id="18" w:name="_Toc532149370"/>
      <w:r>
        <w:rPr>
          <w:rFonts w:hint="eastAsia" w:ascii="宋体" w:hAnsi="宋体"/>
          <w:b/>
          <w:bCs/>
          <w:szCs w:val="28"/>
        </w:rPr>
        <w:t>四：</w:t>
      </w:r>
      <w:r>
        <w:rPr>
          <w:rFonts w:ascii="宋体" w:hAnsi="宋体"/>
          <w:b/>
          <w:bCs/>
          <w:szCs w:val="28"/>
        </w:rPr>
        <w:t>资格性、符合性检查表</w:t>
      </w:r>
      <w:bookmarkEnd w:id="15"/>
      <w:bookmarkEnd w:id="16"/>
      <w:bookmarkEnd w:id="17"/>
      <w:bookmarkEnd w:id="18"/>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11"/>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60" w:lineRule="auto"/>
              <w:ind w:firstLine="480" w:firstLineChars="200"/>
              <w:rPr>
                <w:rFonts w:ascii="宋体" w:hAnsi="宋体"/>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6544AB8"/>
    <w:rsid w:val="07981D60"/>
    <w:rsid w:val="08127289"/>
    <w:rsid w:val="0A617164"/>
    <w:rsid w:val="0BC16C6C"/>
    <w:rsid w:val="1021177C"/>
    <w:rsid w:val="105006D8"/>
    <w:rsid w:val="11BA47B3"/>
    <w:rsid w:val="13000B82"/>
    <w:rsid w:val="142C08A0"/>
    <w:rsid w:val="1822283F"/>
    <w:rsid w:val="1E427B7E"/>
    <w:rsid w:val="1EB67ACC"/>
    <w:rsid w:val="204C02B7"/>
    <w:rsid w:val="20FA4769"/>
    <w:rsid w:val="23146A9B"/>
    <w:rsid w:val="25F334D2"/>
    <w:rsid w:val="268B1F69"/>
    <w:rsid w:val="279A7B42"/>
    <w:rsid w:val="2A300308"/>
    <w:rsid w:val="2CA656F6"/>
    <w:rsid w:val="2E200953"/>
    <w:rsid w:val="32F33203"/>
    <w:rsid w:val="33AE04CA"/>
    <w:rsid w:val="350D3871"/>
    <w:rsid w:val="35EE2330"/>
    <w:rsid w:val="37A429D8"/>
    <w:rsid w:val="38C900D1"/>
    <w:rsid w:val="3BE01222"/>
    <w:rsid w:val="3DEB5E6C"/>
    <w:rsid w:val="40BC6C69"/>
    <w:rsid w:val="421E4837"/>
    <w:rsid w:val="43CA17E8"/>
    <w:rsid w:val="442153B2"/>
    <w:rsid w:val="45061759"/>
    <w:rsid w:val="482423BD"/>
    <w:rsid w:val="496F4048"/>
    <w:rsid w:val="4A2E42AE"/>
    <w:rsid w:val="4A96414A"/>
    <w:rsid w:val="4B8D0BF0"/>
    <w:rsid w:val="4E754E32"/>
    <w:rsid w:val="52393245"/>
    <w:rsid w:val="52DB747A"/>
    <w:rsid w:val="54113459"/>
    <w:rsid w:val="54C93989"/>
    <w:rsid w:val="55C678A3"/>
    <w:rsid w:val="5834442A"/>
    <w:rsid w:val="58404F17"/>
    <w:rsid w:val="59842FD6"/>
    <w:rsid w:val="598A0AF6"/>
    <w:rsid w:val="59C76792"/>
    <w:rsid w:val="5D6C4856"/>
    <w:rsid w:val="5E913B68"/>
    <w:rsid w:val="61FB0FEB"/>
    <w:rsid w:val="62B42447"/>
    <w:rsid w:val="66C261F4"/>
    <w:rsid w:val="66CA05E7"/>
    <w:rsid w:val="675414F1"/>
    <w:rsid w:val="69DB5EEA"/>
    <w:rsid w:val="6A0424AA"/>
    <w:rsid w:val="6C4C672D"/>
    <w:rsid w:val="6E3950A8"/>
    <w:rsid w:val="6E66166D"/>
    <w:rsid w:val="70684812"/>
    <w:rsid w:val="70D76CDF"/>
    <w:rsid w:val="73350193"/>
    <w:rsid w:val="733F058E"/>
    <w:rsid w:val="73B82B37"/>
    <w:rsid w:val="73BE261B"/>
    <w:rsid w:val="79E73813"/>
    <w:rsid w:val="7DA3490E"/>
    <w:rsid w:val="7E2C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rPr>
      <w:rFonts w:ascii="Times New Roman"/>
      <w:kern w:val="2"/>
      <w:szCs w:val="24"/>
    </w:rPr>
  </w:style>
  <w:style w:type="paragraph" w:styleId="7">
    <w:name w:val="Body Text"/>
    <w:basedOn w:val="1"/>
    <w:next w:val="1"/>
    <w:qFormat/>
    <w:uiPriority w:val="0"/>
    <w:pPr>
      <w:spacing w:after="120"/>
    </w:pPr>
  </w:style>
  <w:style w:type="paragraph" w:styleId="8">
    <w:name w:val="Plain Text"/>
    <w:basedOn w:val="1"/>
    <w:link w:val="18"/>
    <w:qFormat/>
    <w:uiPriority w:val="0"/>
    <w:rPr>
      <w:rFonts w:ascii="宋体" w:hAnsi="Courier New" w:cstheme="minorBidi"/>
      <w:sz w:val="21"/>
      <w:szCs w:val="22"/>
    </w:rPr>
  </w:style>
  <w:style w:type="paragraph" w:styleId="9">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3">
    <w:name w:val="页眉 Char"/>
    <w:basedOn w:val="12"/>
    <w:link w:val="10"/>
    <w:qFormat/>
    <w:uiPriority w:val="99"/>
    <w:rPr>
      <w:sz w:val="18"/>
      <w:szCs w:val="18"/>
    </w:rPr>
  </w:style>
  <w:style w:type="character" w:customStyle="1" w:styleId="14">
    <w:name w:val="页脚 Char"/>
    <w:basedOn w:val="12"/>
    <w:link w:val="9"/>
    <w:semiHidden/>
    <w:qFormat/>
    <w:uiPriority w:val="99"/>
    <w:rPr>
      <w:sz w:val="18"/>
      <w:szCs w:val="18"/>
    </w:rPr>
  </w:style>
  <w:style w:type="character" w:customStyle="1" w:styleId="15">
    <w:name w:val="标题 1 Char"/>
    <w:basedOn w:val="12"/>
    <w:link w:val="3"/>
    <w:qFormat/>
    <w:uiPriority w:val="0"/>
    <w:rPr>
      <w:rFonts w:ascii="Times New Roman" w:hAnsi="Times New Roman" w:eastAsia="宋体" w:cs="Times New Roman"/>
      <w:b/>
      <w:bCs/>
      <w:kern w:val="44"/>
      <w:sz w:val="44"/>
      <w:szCs w:val="44"/>
    </w:rPr>
  </w:style>
  <w:style w:type="character" w:customStyle="1" w:styleId="16">
    <w:name w:val="标题 2 Char"/>
    <w:basedOn w:val="12"/>
    <w:link w:val="4"/>
    <w:qFormat/>
    <w:uiPriority w:val="0"/>
    <w:rPr>
      <w:rFonts w:ascii="Arial" w:hAnsi="Arial" w:eastAsia="黑体" w:cs="Times New Roman"/>
      <w:b/>
      <w:bCs/>
      <w:sz w:val="32"/>
      <w:szCs w:val="32"/>
    </w:rPr>
  </w:style>
  <w:style w:type="character" w:customStyle="1" w:styleId="17">
    <w:name w:val="标题 3 Char"/>
    <w:basedOn w:val="12"/>
    <w:link w:val="5"/>
    <w:qFormat/>
    <w:uiPriority w:val="0"/>
    <w:rPr>
      <w:rFonts w:ascii="Times New Roman" w:hAnsi="Times New Roman" w:eastAsia="宋体" w:cs="Times New Roman"/>
      <w:b/>
      <w:bCs/>
      <w:sz w:val="32"/>
      <w:szCs w:val="32"/>
    </w:rPr>
  </w:style>
  <w:style w:type="character" w:customStyle="1" w:styleId="18">
    <w:name w:val="纯文本 Char"/>
    <w:link w:val="8"/>
    <w:qFormat/>
    <w:uiPriority w:val="0"/>
    <w:rPr>
      <w:rFonts w:ascii="宋体" w:hAnsi="Courier New" w:eastAsia="宋体"/>
    </w:rPr>
  </w:style>
  <w:style w:type="character" w:customStyle="1" w:styleId="19">
    <w:name w:val="纯文本 Char1"/>
    <w:basedOn w:val="12"/>
    <w:semiHidden/>
    <w:qFormat/>
    <w:uiPriority w:val="99"/>
    <w:rPr>
      <w:rFonts w:ascii="宋体" w:hAnsi="Courier New" w:eastAsia="宋体" w:cs="Courier New"/>
      <w:szCs w:val="21"/>
    </w:rPr>
  </w:style>
  <w:style w:type="paragraph" w:styleId="20">
    <w:name w:val="List Paragraph"/>
    <w:basedOn w:val="1"/>
    <w:qFormat/>
    <w:uiPriority w:val="34"/>
    <w:pPr>
      <w:ind w:firstLine="420" w:firstLineChars="200"/>
    </w:pPr>
  </w:style>
  <w:style w:type="paragraph" w:customStyle="1" w:styleId="21">
    <w:name w:val="a"/>
    <w:basedOn w:val="1"/>
    <w:qFormat/>
    <w:uiPriority w:val="0"/>
    <w:pPr>
      <w:widowControl/>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6058</Words>
  <Characters>6191</Characters>
  <Lines>32</Lines>
  <Paragraphs>9</Paragraphs>
  <TotalTime>6</TotalTime>
  <ScaleCrop>false</ScaleCrop>
  <LinksUpToDate>false</LinksUpToDate>
  <CharactersWithSpaces>6209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黄致明</cp:lastModifiedBy>
  <cp:lastPrinted>2022-03-27T13:25:00Z</cp:lastPrinted>
  <dcterms:modified xsi:type="dcterms:W3CDTF">2022-05-24T07:33:32Z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D144FECBC4B549BBAEC07BF9EB9CBD37</vt:lpwstr>
  </property>
  <property fmtid="{D5CDD505-2E9C-101B-9397-08002B2CF9AE}" pid="4" name="commondata">
    <vt:lpwstr>eyJoZGlkIjoiMTkzNzI2ZWQ0ODY3NmRhZmRjYTc5NmJiYzA2Y2M1YmMifQ==</vt:lpwstr>
  </property>
</Properties>
</file>