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液晶模组光学测试仪购置</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2</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液晶模组光学测试仪购置项目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联系人：曾老师，联系电话：0592-7760022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液晶模组光学测试仪购置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4套</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15.6</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学院液晶模组光学测试仪购置项目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液晶模组光学测试仪购置的供货及</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415216386"/>
      <w:bookmarkStart w:id="11" w:name="_Toc361840722"/>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877486"/>
      <w:bookmarkStart w:id="16" w:name="_Toc191691980"/>
      <w:bookmarkStart w:id="17" w:name="_Toc169944033"/>
      <w:bookmarkStart w:id="19" w:name="_GoBack"/>
      <w:r>
        <w:rPr>
          <w:rFonts w:hint="eastAsia" w:ascii="宋体" w:hAnsi="宋体" w:cs="Arial"/>
          <w:color w:val="auto"/>
          <w:sz w:val="24"/>
          <w:highlight w:val="none"/>
        </w:rPr>
        <w:t>本项目采购的货物要求自</w:t>
      </w:r>
      <w:bookmarkEnd w:id="15"/>
      <w:bookmarkEnd w:id="16"/>
      <w:bookmarkEnd w:id="17"/>
      <w:r>
        <w:rPr>
          <w:rFonts w:hint="eastAsia" w:ascii="宋体" w:hAnsi="宋体" w:cs="Arial"/>
          <w:color w:val="auto"/>
          <w:sz w:val="24"/>
          <w:highlight w:val="none"/>
        </w:rPr>
        <w:t>项目验收合格后，设备</w:t>
      </w:r>
      <w:r>
        <w:rPr>
          <w:rFonts w:hint="eastAsia" w:ascii="宋体" w:hAnsi="宋体" w:cs="Arial"/>
          <w:color w:val="auto"/>
          <w:sz w:val="24"/>
          <w:highlight w:val="none"/>
          <w:lang w:eastAsia="zh-CN"/>
        </w:rPr>
        <w:t>整体</w:t>
      </w:r>
      <w:r>
        <w:rPr>
          <w:rFonts w:hint="eastAsia" w:ascii="宋体" w:hAnsi="宋体" w:cs="Arial"/>
          <w:color w:val="auto"/>
          <w:sz w:val="24"/>
          <w:highlight w:val="none"/>
        </w:rPr>
        <w:t>免费保修3年。</w:t>
      </w:r>
    </w:p>
    <w:bookmarkEnd w:id="19"/>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8"/>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0ED27C81"/>
    <w:rsid w:val="1021177C"/>
    <w:rsid w:val="11BA47B3"/>
    <w:rsid w:val="13000B82"/>
    <w:rsid w:val="1822283F"/>
    <w:rsid w:val="18AE1A9C"/>
    <w:rsid w:val="1C21593D"/>
    <w:rsid w:val="1EB67ACC"/>
    <w:rsid w:val="204C02B7"/>
    <w:rsid w:val="20F969C3"/>
    <w:rsid w:val="224247E6"/>
    <w:rsid w:val="23453CC3"/>
    <w:rsid w:val="268B1F69"/>
    <w:rsid w:val="26CC3BBA"/>
    <w:rsid w:val="279A7B42"/>
    <w:rsid w:val="29E72D41"/>
    <w:rsid w:val="2E200953"/>
    <w:rsid w:val="2F8A14E6"/>
    <w:rsid w:val="32F33203"/>
    <w:rsid w:val="379C5B50"/>
    <w:rsid w:val="37A429D8"/>
    <w:rsid w:val="3B6F6E68"/>
    <w:rsid w:val="40F355E7"/>
    <w:rsid w:val="415314AB"/>
    <w:rsid w:val="421E4837"/>
    <w:rsid w:val="43EB01A6"/>
    <w:rsid w:val="442153B2"/>
    <w:rsid w:val="45061759"/>
    <w:rsid w:val="4662784A"/>
    <w:rsid w:val="482423BD"/>
    <w:rsid w:val="4E6E77D2"/>
    <w:rsid w:val="52393245"/>
    <w:rsid w:val="52DB747A"/>
    <w:rsid w:val="54113459"/>
    <w:rsid w:val="58083B15"/>
    <w:rsid w:val="5834442A"/>
    <w:rsid w:val="58404F17"/>
    <w:rsid w:val="59842FD6"/>
    <w:rsid w:val="598A0AF6"/>
    <w:rsid w:val="59C76792"/>
    <w:rsid w:val="61FB0FEB"/>
    <w:rsid w:val="62B42447"/>
    <w:rsid w:val="63BB381C"/>
    <w:rsid w:val="66C261F4"/>
    <w:rsid w:val="675414F1"/>
    <w:rsid w:val="69DB5EEA"/>
    <w:rsid w:val="6A0424AA"/>
    <w:rsid w:val="6C4C672D"/>
    <w:rsid w:val="6E1F07D4"/>
    <w:rsid w:val="7068481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29</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Administrator</cp:lastModifiedBy>
  <cp:lastPrinted>2024-05-11T07:14:00Z</cp:lastPrinted>
  <dcterms:modified xsi:type="dcterms:W3CDTF">2025-02-28T01:10:19Z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