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681"/>
        <w:gridCol w:w="1170"/>
        <w:gridCol w:w="5384"/>
        <w:gridCol w:w="765"/>
        <w:gridCol w:w="736"/>
        <w:gridCol w:w="1110"/>
        <w:gridCol w:w="1185"/>
        <w:gridCol w:w="70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restart"/>
            <w:vAlign w:val="center"/>
          </w:tcPr>
          <w:p>
            <w:pPr>
              <w:jc w:val="center"/>
              <w:rPr>
                <w:rFonts w:hint="eastAsia" w:ascii="黑体" w:hAnsi="黑体" w:eastAsia="黑体"/>
                <w:sz w:val="24"/>
                <w:lang w:eastAsia="zh-CN"/>
              </w:rPr>
            </w:pPr>
            <w:r>
              <w:rPr>
                <w:rFonts w:hint="eastAsia" w:ascii="黑体" w:hAnsi="黑体" w:eastAsia="黑体"/>
                <w:sz w:val="24"/>
                <w:lang w:val="en-US" w:eastAsia="zh-CN"/>
              </w:rPr>
              <w:t>安全防范技术基础实训教学系统</w:t>
            </w:r>
            <w:r>
              <w:rPr>
                <w:rFonts w:hint="eastAsia" w:ascii="黑体" w:hAnsi="黑体" w:eastAsia="黑体"/>
                <w:sz w:val="24"/>
                <w:lang w:eastAsia="zh-CN"/>
              </w:rPr>
              <w:t>项</w:t>
            </w:r>
          </w:p>
          <w:p>
            <w:pPr>
              <w:jc w:val="both"/>
              <w:rPr>
                <w:rFonts w:hint="eastAsia" w:eastAsia="宋体"/>
                <w:szCs w:val="21"/>
                <w:lang w:eastAsia="zh-CN"/>
              </w:rPr>
            </w:pPr>
            <w:r>
              <w:rPr>
                <w:rFonts w:hint="eastAsia" w:ascii="黑体" w:hAnsi="黑体" w:eastAsia="黑体"/>
                <w:sz w:val="24"/>
                <w:lang w:eastAsia="zh-CN"/>
              </w:rPr>
              <w:t>目报价表</w:t>
            </w:r>
          </w:p>
        </w:tc>
        <w:tc>
          <w:tcPr>
            <w:tcW w:w="681" w:type="dxa"/>
          </w:tcPr>
          <w:p>
            <w:pPr>
              <w:spacing w:line="440" w:lineRule="exact"/>
              <w:jc w:val="center"/>
              <w:rPr>
                <w:rFonts w:ascii="黑体" w:hAnsi="黑体" w:eastAsia="黑体"/>
                <w:sz w:val="22"/>
              </w:rPr>
            </w:pPr>
            <w:r>
              <w:rPr>
                <w:rFonts w:hint="eastAsia" w:ascii="黑体" w:hAnsi="黑体" w:eastAsia="黑体"/>
                <w:sz w:val="22"/>
              </w:rPr>
              <w:t>序号</w:t>
            </w:r>
          </w:p>
        </w:tc>
        <w:tc>
          <w:tcPr>
            <w:tcW w:w="1170" w:type="dxa"/>
          </w:tcPr>
          <w:p>
            <w:pPr>
              <w:spacing w:line="440" w:lineRule="exact"/>
              <w:jc w:val="center"/>
              <w:rPr>
                <w:rFonts w:ascii="黑体" w:hAnsi="黑体" w:eastAsia="黑体"/>
                <w:sz w:val="22"/>
              </w:rPr>
            </w:pPr>
            <w:r>
              <w:rPr>
                <w:rFonts w:hint="eastAsia" w:ascii="黑体" w:hAnsi="黑体" w:eastAsia="黑体"/>
                <w:sz w:val="22"/>
              </w:rPr>
              <w:t>名称</w:t>
            </w:r>
          </w:p>
        </w:tc>
        <w:tc>
          <w:tcPr>
            <w:tcW w:w="5384" w:type="dxa"/>
          </w:tcPr>
          <w:p>
            <w:pPr>
              <w:spacing w:line="440" w:lineRule="exact"/>
              <w:jc w:val="center"/>
              <w:rPr>
                <w:rFonts w:ascii="黑体" w:hAnsi="黑体" w:eastAsia="黑体"/>
                <w:sz w:val="22"/>
              </w:rPr>
            </w:pPr>
            <w:r>
              <w:rPr>
                <w:rFonts w:hint="eastAsia" w:ascii="黑体" w:hAnsi="黑体" w:eastAsia="黑体"/>
                <w:sz w:val="22"/>
              </w:rPr>
              <w:t>参数描述</w:t>
            </w:r>
          </w:p>
        </w:tc>
        <w:tc>
          <w:tcPr>
            <w:tcW w:w="765" w:type="dxa"/>
          </w:tcPr>
          <w:p>
            <w:pPr>
              <w:spacing w:line="440" w:lineRule="exact"/>
              <w:jc w:val="center"/>
              <w:rPr>
                <w:rFonts w:ascii="黑体" w:hAnsi="黑体" w:eastAsia="黑体"/>
                <w:sz w:val="22"/>
              </w:rPr>
            </w:pPr>
            <w:r>
              <w:rPr>
                <w:rFonts w:hint="eastAsia" w:ascii="黑体" w:hAnsi="黑体" w:eastAsia="黑体"/>
                <w:sz w:val="22"/>
              </w:rPr>
              <w:t>单位</w:t>
            </w:r>
          </w:p>
        </w:tc>
        <w:tc>
          <w:tcPr>
            <w:tcW w:w="736" w:type="dxa"/>
          </w:tcPr>
          <w:p>
            <w:pPr>
              <w:spacing w:line="440" w:lineRule="exact"/>
              <w:jc w:val="center"/>
              <w:rPr>
                <w:rFonts w:ascii="黑体" w:hAnsi="黑体" w:eastAsia="黑体"/>
                <w:sz w:val="22"/>
              </w:rPr>
            </w:pPr>
            <w:r>
              <w:rPr>
                <w:rFonts w:hint="eastAsia" w:ascii="黑体" w:hAnsi="黑体" w:eastAsia="黑体"/>
                <w:sz w:val="22"/>
              </w:rPr>
              <w:t>数量</w:t>
            </w:r>
          </w:p>
        </w:tc>
        <w:tc>
          <w:tcPr>
            <w:tcW w:w="1110" w:type="dxa"/>
          </w:tcPr>
          <w:p>
            <w:pPr>
              <w:spacing w:line="440" w:lineRule="exact"/>
              <w:jc w:val="center"/>
              <w:rPr>
                <w:rFonts w:hint="eastAsia" w:ascii="黑体" w:hAnsi="黑体" w:eastAsia="黑体"/>
                <w:sz w:val="22"/>
                <w:lang w:eastAsia="zh-CN"/>
              </w:rPr>
            </w:pPr>
            <w:r>
              <w:rPr>
                <w:rFonts w:hint="eastAsia" w:ascii="黑体" w:hAnsi="黑体" w:eastAsia="黑体"/>
                <w:sz w:val="22"/>
                <w:lang w:eastAsia="zh-CN"/>
              </w:rPr>
              <w:t>品牌</w:t>
            </w:r>
          </w:p>
        </w:tc>
        <w:tc>
          <w:tcPr>
            <w:tcW w:w="1185" w:type="dxa"/>
          </w:tcPr>
          <w:p>
            <w:pPr>
              <w:spacing w:line="440" w:lineRule="exact"/>
              <w:jc w:val="center"/>
              <w:rPr>
                <w:rFonts w:hint="eastAsia" w:ascii="黑体" w:hAnsi="黑体" w:eastAsia="黑体"/>
                <w:sz w:val="22"/>
                <w:lang w:eastAsia="zh-CN"/>
              </w:rPr>
            </w:pPr>
            <w:r>
              <w:rPr>
                <w:rFonts w:hint="eastAsia" w:ascii="黑体" w:hAnsi="黑体" w:eastAsia="黑体"/>
                <w:sz w:val="22"/>
                <w:lang w:eastAsia="zh-CN"/>
              </w:rPr>
              <w:t>型号规格</w:t>
            </w:r>
          </w:p>
        </w:tc>
        <w:tc>
          <w:tcPr>
            <w:tcW w:w="705" w:type="dxa"/>
          </w:tcPr>
          <w:p>
            <w:pPr>
              <w:spacing w:line="440" w:lineRule="exact"/>
              <w:jc w:val="center"/>
              <w:rPr>
                <w:rFonts w:ascii="黑体" w:hAnsi="黑体" w:eastAsia="黑体"/>
                <w:sz w:val="22"/>
              </w:rPr>
            </w:pPr>
            <w:r>
              <w:rPr>
                <w:rFonts w:hint="eastAsia" w:ascii="黑体" w:hAnsi="黑体" w:eastAsia="黑体"/>
                <w:sz w:val="22"/>
              </w:rPr>
              <w:t>单价</w:t>
            </w:r>
          </w:p>
        </w:tc>
        <w:tc>
          <w:tcPr>
            <w:tcW w:w="907" w:type="dxa"/>
          </w:tcPr>
          <w:p>
            <w:pPr>
              <w:spacing w:line="300" w:lineRule="exact"/>
              <w:jc w:val="center"/>
              <w:rPr>
                <w:rFonts w:ascii="黑体" w:hAnsi="黑体" w:eastAsia="黑体"/>
                <w:sz w:val="22"/>
              </w:rPr>
            </w:pPr>
            <w:r>
              <w:rPr>
                <w:rFonts w:hint="eastAsia" w:ascii="黑体" w:hAnsi="黑体" w:eastAsia="黑体"/>
                <w:sz w:val="22"/>
              </w:rPr>
              <w:t>合计</w:t>
            </w:r>
          </w:p>
          <w:p>
            <w:pPr>
              <w:spacing w:line="300" w:lineRule="exact"/>
              <w:jc w:val="center"/>
              <w:rPr>
                <w:rFonts w:ascii="黑体" w:hAnsi="黑体" w:eastAsia="黑体"/>
                <w:sz w:val="22"/>
              </w:rPr>
            </w:pPr>
            <w:r>
              <w:rPr>
                <w:rFonts w:hint="eastAsia" w:ascii="黑体" w:hAnsi="黑体" w:eastAsia="黑体"/>
                <w:sz w:val="18"/>
              </w:rPr>
              <w:t>（单位</w:t>
            </w:r>
            <w:r>
              <w:rPr>
                <w:rFonts w:ascii="黑体" w:hAnsi="黑体" w:eastAsia="黑体"/>
                <w:sz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vAlign w:val="center"/>
          </w:tcPr>
          <w:p>
            <w:pPr>
              <w:jc w:val="center"/>
              <w:rPr>
                <w:rFonts w:ascii="黑体" w:hAnsi="黑体" w:eastAsia="黑体"/>
                <w:sz w:val="24"/>
              </w:rPr>
            </w:pPr>
          </w:p>
        </w:tc>
        <w:tc>
          <w:tcPr>
            <w:tcW w:w="681" w:type="dxa"/>
            <w:vAlign w:val="center"/>
          </w:tcPr>
          <w:p>
            <w:pPr>
              <w:spacing w:line="300" w:lineRule="exact"/>
              <w:rPr>
                <w:rFonts w:hint="eastAsia" w:ascii="黑体" w:hAnsi="黑体" w:eastAsia="黑体"/>
                <w:szCs w:val="32"/>
              </w:rPr>
            </w:pPr>
          </w:p>
        </w:tc>
        <w:tc>
          <w:tcPr>
            <w:tcW w:w="11962" w:type="dxa"/>
            <w:gridSpan w:val="8"/>
            <w:vAlign w:val="center"/>
          </w:tcPr>
          <w:p>
            <w:pPr>
              <w:spacing w:line="300" w:lineRule="exact"/>
              <w:rPr>
                <w:rFonts w:hint="eastAsia" w:ascii="黑体" w:hAnsi="黑体" w:eastAsia="黑体"/>
                <w:szCs w:val="32"/>
              </w:rPr>
            </w:pPr>
            <w:r>
              <w:rPr>
                <w:rFonts w:hint="eastAsia" w:ascii="黑体" w:hAnsi="黑体" w:eastAsia="黑体"/>
                <w:szCs w:val="32"/>
              </w:rPr>
              <w:t>一、安防技术智能化设备展示教学系统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eastAsia" w:eastAsia="宋体"/>
                <w:lang w:val="en-US" w:eastAsia="zh-CN"/>
              </w:rPr>
            </w:pPr>
            <w:r>
              <w:rPr>
                <w:rFonts w:hint="eastAsia"/>
                <w:lang w:val="en-US" w:eastAsia="zh-CN"/>
              </w:rPr>
              <w:t>1</w:t>
            </w:r>
          </w:p>
        </w:tc>
        <w:tc>
          <w:tcPr>
            <w:tcW w:w="1170" w:type="dxa"/>
            <w:vAlign w:val="center"/>
          </w:tcPr>
          <w:p>
            <w:pPr>
              <w:spacing w:line="440" w:lineRule="exact"/>
              <w:jc w:val="center"/>
            </w:pPr>
            <w:r>
              <w:rPr>
                <w:rFonts w:hint="eastAsia"/>
              </w:rPr>
              <w:t>安全防范技术教学展板</w:t>
            </w:r>
          </w:p>
        </w:tc>
        <w:tc>
          <w:tcPr>
            <w:tcW w:w="5384" w:type="dxa"/>
            <w:vAlign w:val="center"/>
          </w:tcPr>
          <w:p>
            <w:pPr>
              <w:jc w:val="left"/>
            </w:pPr>
            <w:r>
              <w:rPr>
                <w:rFonts w:hint="eastAsia"/>
              </w:rPr>
              <w:t>产品规格：长1100mm，宽800mm，8张/套。</w:t>
            </w:r>
          </w:p>
          <w:p>
            <w:pPr>
              <w:jc w:val="left"/>
            </w:pPr>
            <w:r>
              <w:rPr>
                <w:rFonts w:hint="eastAsia"/>
              </w:rPr>
              <w:t>产品结构：PVC发泡材料喷画。</w:t>
            </w:r>
          </w:p>
          <w:p>
            <w:pPr>
              <w:jc w:val="left"/>
            </w:pPr>
            <w:r>
              <w:rPr>
                <w:rFonts w:hint="eastAsia"/>
              </w:rPr>
              <w:t>产品配置：安全防范技术展示图8张。</w:t>
            </w:r>
          </w:p>
        </w:tc>
        <w:tc>
          <w:tcPr>
            <w:tcW w:w="765" w:type="dxa"/>
            <w:vAlign w:val="center"/>
          </w:tcPr>
          <w:p>
            <w:pPr>
              <w:spacing w:line="440" w:lineRule="exact"/>
              <w:jc w:val="center"/>
            </w:pPr>
            <w:r>
              <w:rPr>
                <w:rFonts w:hint="eastAsia"/>
              </w:rPr>
              <w:t>套</w:t>
            </w:r>
          </w:p>
        </w:tc>
        <w:tc>
          <w:tcPr>
            <w:tcW w:w="736" w:type="dxa"/>
            <w:vAlign w:val="center"/>
          </w:tcPr>
          <w:p>
            <w:pPr>
              <w:spacing w:line="440" w:lineRule="exact"/>
              <w:jc w:val="center"/>
              <w:rPr>
                <w:rFonts w:hint="default" w:ascii="Calibri" w:hAnsi="Calibri" w:cs="Calibri"/>
              </w:rPr>
            </w:pPr>
            <w:r>
              <w:rPr>
                <w:rFonts w:hint="default" w:ascii="Calibri" w:hAnsi="Calibri" w:cs="Calibri"/>
              </w:rPr>
              <w:t>1</w:t>
            </w:r>
          </w:p>
        </w:tc>
        <w:tc>
          <w:tcPr>
            <w:tcW w:w="1110" w:type="dxa"/>
            <w:vAlign w:val="center"/>
          </w:tcPr>
          <w:p>
            <w:pPr>
              <w:widowControl/>
              <w:jc w:val="center"/>
              <w:textAlignment w:val="center"/>
              <w:rPr>
                <w:rFonts w:hint="default" w:ascii="Calibri" w:hAnsi="Calibri" w:eastAsia="宋体" w:cs="Calibri"/>
                <w:lang w:eastAsia="zh-CN"/>
              </w:rPr>
            </w:pPr>
          </w:p>
        </w:tc>
        <w:tc>
          <w:tcPr>
            <w:tcW w:w="1185" w:type="dxa"/>
            <w:vAlign w:val="center"/>
          </w:tcPr>
          <w:p>
            <w:pPr>
              <w:widowControl/>
              <w:jc w:val="center"/>
              <w:textAlignment w:val="center"/>
              <w:rPr>
                <w:rFonts w:hint="default" w:ascii="Calibri" w:hAnsi="Calibri" w:eastAsia="宋体" w:cs="Calibri"/>
                <w:lang w:eastAsia="zh-CN"/>
              </w:rPr>
            </w:pPr>
          </w:p>
        </w:tc>
        <w:tc>
          <w:tcPr>
            <w:tcW w:w="705" w:type="dxa"/>
            <w:vAlign w:val="center"/>
          </w:tcPr>
          <w:p>
            <w:pPr>
              <w:widowControl/>
              <w:jc w:val="center"/>
              <w:textAlignment w:val="center"/>
              <w:rPr>
                <w:rFonts w:hint="default" w:ascii="Calibri" w:hAnsi="Calibri" w:eastAsia="宋体" w:cs="Calibri"/>
                <w:lang w:eastAsia="zh-CN"/>
              </w:rPr>
            </w:pPr>
          </w:p>
        </w:tc>
        <w:tc>
          <w:tcPr>
            <w:tcW w:w="907" w:type="dxa"/>
            <w:vAlign w:val="center"/>
          </w:tcPr>
          <w:p>
            <w:pPr>
              <w:widowControl/>
              <w:jc w:val="center"/>
              <w:textAlignment w:val="center"/>
              <w:rPr>
                <w:rFonts w:hint="default" w:ascii="Calibri" w:hAnsi="Calibri" w:eastAsia="宋体"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rPr>
                <w:rFonts w:hint="default" w:ascii="Calibri" w:hAnsi="Calibri" w:eastAsia="黑体" w:cs="Calibri"/>
                <w:szCs w:val="32"/>
              </w:rPr>
            </w:pPr>
          </w:p>
        </w:tc>
        <w:tc>
          <w:tcPr>
            <w:tcW w:w="11962" w:type="dxa"/>
            <w:gridSpan w:val="8"/>
            <w:vAlign w:val="center"/>
          </w:tcPr>
          <w:p>
            <w:pPr>
              <w:spacing w:line="440" w:lineRule="exact"/>
              <w:rPr>
                <w:rFonts w:hint="default" w:ascii="Calibri" w:hAnsi="Calibri" w:eastAsia="黑体" w:cs="Calibri"/>
                <w:szCs w:val="32"/>
              </w:rPr>
            </w:pPr>
            <w:r>
              <w:rPr>
                <w:rFonts w:hint="default" w:ascii="Calibri" w:hAnsi="Calibri" w:eastAsia="黑体" w:cs="Calibri"/>
                <w:szCs w:val="32"/>
              </w:rPr>
              <w:t>二、安全防范技术基础实训教学系统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eastAsia="宋体"/>
                <w:lang w:val="en-US" w:eastAsia="zh-CN"/>
              </w:rPr>
            </w:pPr>
            <w:r>
              <w:rPr>
                <w:rFonts w:hint="eastAsia"/>
                <w:lang w:val="en-US" w:eastAsia="zh-CN"/>
              </w:rPr>
              <w:t>2.1</w:t>
            </w:r>
          </w:p>
        </w:tc>
        <w:tc>
          <w:tcPr>
            <w:tcW w:w="1170" w:type="dxa"/>
            <w:vAlign w:val="center"/>
          </w:tcPr>
          <w:p>
            <w:pPr>
              <w:widowControl/>
              <w:jc w:val="center"/>
              <w:textAlignment w:val="center"/>
            </w:pPr>
            <w:r>
              <w:rPr>
                <w:rFonts w:hint="eastAsia" w:ascii="宋体" w:hAnsi="宋体" w:cs="宋体"/>
                <w:color w:val="000000"/>
                <w:kern w:val="0"/>
                <w:sz w:val="22"/>
                <w:szCs w:val="22"/>
                <w:lang w:bidi="ar"/>
              </w:rPr>
              <w:t>网络安防技术实训台（主体）</w:t>
            </w:r>
          </w:p>
        </w:tc>
        <w:tc>
          <w:tcPr>
            <w:tcW w:w="5384" w:type="dxa"/>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一、产品规格：长2200mm*宽750mm*高1800mm。AC220V/800W，满足2-4个学生同时进行实训。</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二、产品结构：</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实训台主体上体，采用国际标准19英寸阵列设计，拥有4个16U高度的标准19英寸机架，用于安装19英寸标准实训模组。机架中间带有D型理线环设计；台体顶部设置有万用安装支架，可同时安装红外对射、球机、半球、枪机等安防设备。</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2、实训台主体下体，安装有可移动万向轮和脚杯，支持灵活移动，配置有2个19英寸设备柜，内置2套层板，用于安防实训主控设备安装和管理。</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三、产品配置：</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1、总电源配电模组1套：标准19英寸设计，设置有总电源漏电开关、总电源电流电压表、开关断路器、导轨式五孔插座和卡扣式五孔插座等，支持功率2500-3000W，带漏电保护功能，保障实训过程中的用电安全；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2、微型工控主机模组1套：微型工控主机模组，产品规格为长 175mmX 宽 175mmX 高35mm，该模组为 HP 高度集成设计的 X86 架构微型系统，带有 2 个 DP1.4 显示接口，支持 4K 分辨率安防画面显示，正面带有 USB3.0 数据交互接口。</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3、直流电源配电管理模组1套：直流电源配电管理模组，标准 19 英寸设计，4U 高度，支持 DC 12V/24V 输出，内置 220V 保护开关，保证用电安全，直流电源支持短路保护，短路后不输出电力，采用 4mm香蕉插座引出 12V/24V 正负两极电源，用于直流实训设备供电。</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4、可伸缩显示模组</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套：含1080P高清显示器2台，标准机架式 19 英寸设计，内置伸缩显示器支架，可任意调整显示器角度及位置，内置液晶显示器 1 台，支持 VGA、DVI 接口，支持音频播放。</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四、产品功能：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在实训台可以进行原理讲解、技能展示、工作任务设计与计划、项目实施及维护等内容，系统地训练及检验学生专业技术、实际动手技能（安装、布线、接线、调试、运行、维护）、设计规划、交流沟通、团队协作、效率意识及创新思维等能力，培养其严谨的工作作风和良好的职业素养，配合各种智能化实训模组可以进行以下实训内容：</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1、防盗报警系统设备安装、调试与维护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2、视频监控系统设备安装、调试与维护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3、出入口控制系统设备安装、调试与维护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4、楼宇对讲系统设备安装、调试与维护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5、视频监控系统解码器安装、调试与解码上墙</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6、智能巡更系统巡更点安装，人员排班与日常管理</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7、智能楼宇光传输模组设备安装、跳接与调试</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8、智能楼宇安防系统联合互动调试与维护。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9、智能楼宇安防系统考核考证应用。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五、其他</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▲1、此项目为安防技术专业建设，厂家需为省级以上的安防组织成员单位，以保证项目建设的专业性。</w:t>
            </w:r>
          </w:p>
          <w:p>
            <w:pPr>
              <w:widowControl/>
              <w:jc w:val="left"/>
              <w:textAlignment w:val="center"/>
            </w:pPr>
            <w:r>
              <w:rPr>
                <w:rFonts w:hint="eastAsia" w:ascii="宋体" w:hAnsi="宋体" w:cs="宋体"/>
                <w:color w:val="000000"/>
                <w:kern w:val="0"/>
                <w:sz w:val="22"/>
                <w:szCs w:val="22"/>
                <w:lang w:bidi="ar"/>
              </w:rPr>
              <w:t>2、▲为投标加分项，投标时提供实物照片或效果图证明产品并达到参数要求的符合本加分项。</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eastAsia="宋体" w:cs="Calibri"/>
                <w:lang w:eastAsia="zh-CN"/>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c>
          <w:tcPr>
            <w:tcW w:w="1185"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c>
          <w:tcPr>
            <w:tcW w:w="705"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c>
          <w:tcPr>
            <w:tcW w:w="907"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pPr>
            <w:r>
              <w:rPr>
                <w:rFonts w:hint="eastAsia"/>
                <w:lang w:val="en-US" w:eastAsia="zh-CN"/>
              </w:rPr>
              <w:t>2.2</w:t>
            </w:r>
          </w:p>
        </w:tc>
        <w:tc>
          <w:tcPr>
            <w:tcW w:w="1170" w:type="dxa"/>
            <w:vAlign w:val="center"/>
          </w:tcPr>
          <w:p>
            <w:pPr>
              <w:widowControl/>
              <w:jc w:val="center"/>
              <w:textAlignment w:val="center"/>
            </w:pPr>
            <w:r>
              <w:rPr>
                <w:rFonts w:hint="eastAsia" w:ascii="宋体" w:hAnsi="宋体" w:cs="宋体"/>
                <w:color w:val="000000"/>
                <w:kern w:val="0"/>
                <w:sz w:val="22"/>
                <w:szCs w:val="22"/>
                <w:lang w:bidi="ar"/>
              </w:rPr>
              <w:t>视频监控系统管理设备实训模组</w:t>
            </w:r>
          </w:p>
        </w:tc>
        <w:tc>
          <w:tcPr>
            <w:tcW w:w="5384" w:type="dxa"/>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▲一、产品配置：标准19英寸设计，4U高度，内置配电模块和固定支架；</w:t>
            </w:r>
          </w:p>
          <w:p>
            <w:pPr>
              <w:widowControl/>
              <w:jc w:val="left"/>
              <w:textAlignment w:val="center"/>
            </w:pPr>
            <w:r>
              <w:rPr>
                <w:rFonts w:hint="eastAsia" w:ascii="宋体" w:hAnsi="宋体" w:cs="宋体"/>
                <w:color w:val="000000"/>
                <w:kern w:val="0"/>
                <w:sz w:val="22"/>
                <w:szCs w:val="22"/>
                <w:lang w:bidi="ar"/>
              </w:rPr>
              <w:t>内嵌混合型硬盘录像机1台，存储空间500G，支持解码摄像机信号、电脑信号上显示器，能接入模拟同轴信号和网络摄像机信号，支持录像回放、实时预览、报警等功能；支持HDTVI、AHD、模拟、网络四混合信号接入，全路数支持高清 300 万信号预览，支持通过同轴电缆传输控制信号，可进行云台及摄像机菜单控制，支持 HDMI 接口高清 1080p 显示输出，支持标签定义、查询、回放录像文件，支持智能搜索、回放及备份功能等；</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eastAsia="宋体" w:cs="Calibri"/>
                <w:lang w:eastAsia="zh-CN"/>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c>
          <w:tcPr>
            <w:tcW w:w="1185"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c>
          <w:tcPr>
            <w:tcW w:w="705"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c>
          <w:tcPr>
            <w:tcW w:w="907" w:type="dxa"/>
            <w:vAlign w:val="center"/>
          </w:tcPr>
          <w:p>
            <w:pPr>
              <w:keepNext w:val="0"/>
              <w:keepLines w:val="0"/>
              <w:widowControl/>
              <w:suppressLineNumbers w:val="0"/>
              <w:jc w:val="center"/>
              <w:textAlignment w:val="center"/>
              <w:rPr>
                <w:rFonts w:hint="default" w:ascii="Calibri" w:hAnsi="Calibri" w:cs="Calibri"/>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exact"/>
        </w:trPr>
        <w:tc>
          <w:tcPr>
            <w:tcW w:w="0" w:type="auto"/>
            <w:vMerge w:val="continue"/>
            <w:vAlign w:val="center"/>
          </w:tcPr>
          <w:p>
            <w:pPr>
              <w:jc w:val="center"/>
              <w:rPr>
                <w:rFonts w:ascii="黑体" w:hAnsi="黑体" w:eastAsia="黑体"/>
                <w:sz w:val="24"/>
              </w:rPr>
            </w:pPr>
          </w:p>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2.3</w:t>
            </w:r>
          </w:p>
        </w:tc>
        <w:tc>
          <w:tcPr>
            <w:tcW w:w="1170" w:type="dxa"/>
            <w:vAlign w:val="center"/>
          </w:tcPr>
          <w:p>
            <w:pPr>
              <w:widowControl/>
              <w:jc w:val="center"/>
              <w:textAlignment w:val="center"/>
            </w:pPr>
            <w:r>
              <w:rPr>
                <w:rFonts w:hint="eastAsia" w:ascii="宋体" w:hAnsi="宋体" w:cs="宋体"/>
                <w:color w:val="000000"/>
                <w:kern w:val="0"/>
                <w:sz w:val="22"/>
                <w:szCs w:val="22"/>
                <w:lang w:bidi="ar"/>
              </w:rPr>
              <w:t>视频监控系统前端设备实训模组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4U高度，模组包含可调焦枪式摄像机和POE半球摄像机，支持摄像机镜头调焦训练，网络半球摄像机支持POE供电模式。采用高性能逐行扫描CCD,捕捉运动图像无锯齿；支持数字宽动态,3D数字降噪功能；ICR红外滤片式自动切换,实现真正的日夜监控；</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2.4</w:t>
            </w:r>
          </w:p>
        </w:tc>
        <w:tc>
          <w:tcPr>
            <w:tcW w:w="1170" w:type="dxa"/>
            <w:vAlign w:val="center"/>
          </w:tcPr>
          <w:p>
            <w:pPr>
              <w:widowControl/>
              <w:jc w:val="center"/>
              <w:textAlignment w:val="center"/>
            </w:pPr>
            <w:r>
              <w:rPr>
                <w:rFonts w:hint="eastAsia" w:ascii="宋体" w:hAnsi="宋体" w:cs="宋体"/>
                <w:color w:val="000000"/>
                <w:kern w:val="0"/>
                <w:sz w:val="22"/>
                <w:szCs w:val="22"/>
                <w:lang w:bidi="ar"/>
              </w:rPr>
              <w:t>传输设备实训模组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4U高度，内置配电模块和固定支架；内嵌16口POE网络交换机1台、光纤收发器1套和光端机1套，支持POE设备供电、联网，支持光纤传输链路实训功能。设备支持网络延长（EXTEND）模式，开启后，使用超五类及以上网线时，对应端口的数据传输和供电距离最远可达250米；</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2.5</w:t>
            </w:r>
          </w:p>
        </w:tc>
        <w:tc>
          <w:tcPr>
            <w:tcW w:w="1170" w:type="dxa"/>
            <w:vAlign w:val="center"/>
          </w:tcPr>
          <w:p>
            <w:pPr>
              <w:widowControl/>
              <w:jc w:val="center"/>
              <w:textAlignment w:val="center"/>
            </w:pPr>
            <w:r>
              <w:rPr>
                <w:rFonts w:hint="eastAsia" w:ascii="宋体" w:hAnsi="宋体" w:cs="宋体"/>
                <w:color w:val="000000"/>
                <w:kern w:val="0"/>
                <w:sz w:val="22"/>
                <w:szCs w:val="22"/>
                <w:lang w:bidi="ar"/>
              </w:rPr>
              <w:t>安防设备模组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一、产品配置：标准19英寸设计，4U高度，模组引出球机、红外对射的信号接点，并装有配套监控系统使用的拾音设备，警报设备，支持声音收集、警报等实训功能。</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3"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2.6</w:t>
            </w:r>
          </w:p>
        </w:tc>
        <w:tc>
          <w:tcPr>
            <w:tcW w:w="1170" w:type="dxa"/>
            <w:vAlign w:val="center"/>
          </w:tcPr>
          <w:p>
            <w:pPr>
              <w:widowControl/>
              <w:jc w:val="center"/>
              <w:textAlignment w:val="center"/>
            </w:pPr>
            <w:r>
              <w:rPr>
                <w:rFonts w:hint="eastAsia" w:ascii="宋体" w:hAnsi="宋体" w:cs="宋体"/>
                <w:color w:val="000000"/>
                <w:kern w:val="0"/>
                <w:sz w:val="22"/>
                <w:szCs w:val="22"/>
                <w:lang w:bidi="ar"/>
              </w:rPr>
              <w:t>视频监控设备套件</w:t>
            </w:r>
          </w:p>
        </w:tc>
        <w:tc>
          <w:tcPr>
            <w:tcW w:w="5384" w:type="dxa"/>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包含200万星光级球型摄像机、枪式模拟摄像机、网络控制键盘和配套支架等辅材。</w:t>
            </w:r>
          </w:p>
          <w:p>
            <w:pPr>
              <w:widowControl/>
              <w:jc w:val="left"/>
              <w:textAlignment w:val="center"/>
            </w:pPr>
            <w:r>
              <w:rPr>
                <w:rFonts w:hint="eastAsia" w:ascii="宋体" w:hAnsi="宋体" w:cs="宋体"/>
                <w:color w:val="000000"/>
                <w:kern w:val="0"/>
                <w:sz w:val="22"/>
                <w:szCs w:val="22"/>
                <w:lang w:bidi="ar"/>
              </w:rPr>
              <w:t>200万像素星光级红外网络高清智能球机：支持最大1920 × 1080@30 fps 高清画面输出，支持星光级超低照度，支持三码流技术，H.265编码方式，每路码流可独立配置分辨率及帧率，支持23 倍光学变倍，16 倍数字变倍，支持宽动态范围达120 dB，适合逆光环境监控，支持3D 数字降噪、强光抑制、电子防抖，支持区域曝光与区域聚焦功能，支持中心镜像功能；红外防水筒型摄像机1台：700TVL,图像清晰、细腻，低照度,0.1Lux，支持ICR 红外滤片式自动切换,自动彩转黑功能,实现昼夜监控，支持自动白平衡功能,色彩还原度高,图像逼真，支持背光补偿功能,适用于背光环境下前景物体的监控等；日夜型半球网络摄像机1台：最高分辨率可达1920×1080 @ 30 fps，支持PoE供电，支持走廊模式,背光补偿，支持smart IR，防止夜间红外过曝，支持三码流，H.264编码方式等。</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2.7</w:t>
            </w:r>
          </w:p>
        </w:tc>
        <w:tc>
          <w:tcPr>
            <w:tcW w:w="1170" w:type="dxa"/>
            <w:vAlign w:val="center"/>
          </w:tcPr>
          <w:p>
            <w:pPr>
              <w:widowControl/>
              <w:jc w:val="center"/>
              <w:textAlignment w:val="center"/>
            </w:pPr>
            <w:r>
              <w:rPr>
                <w:rFonts w:hint="eastAsia" w:ascii="宋体" w:hAnsi="宋体" w:cs="宋体"/>
                <w:color w:val="000000"/>
                <w:kern w:val="0"/>
                <w:sz w:val="22"/>
                <w:szCs w:val="22"/>
                <w:lang w:bidi="ar"/>
              </w:rPr>
              <w:t>出入口控制系统门锁实训模组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8U高度，内嵌3个模拟门，可进行门锁接线信号认知，门锁安装实训，门磁门锁控制信号接线实训；分别安装有常用的：灵性锁、磁力锁和电插锁，2个开门按钮，2个门磁；产品均为实际工程常用设备。</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2.8</w:t>
            </w:r>
          </w:p>
        </w:tc>
        <w:tc>
          <w:tcPr>
            <w:tcW w:w="1170" w:type="dxa"/>
            <w:vAlign w:val="center"/>
          </w:tcPr>
          <w:p>
            <w:pPr>
              <w:widowControl/>
              <w:jc w:val="center"/>
              <w:textAlignment w:val="center"/>
            </w:pPr>
            <w:r>
              <w:rPr>
                <w:rFonts w:hint="eastAsia" w:ascii="宋体" w:hAnsi="宋体" w:cs="宋体"/>
                <w:color w:val="000000"/>
                <w:kern w:val="0"/>
                <w:sz w:val="22"/>
                <w:szCs w:val="22"/>
                <w:lang w:bidi="ar"/>
              </w:rPr>
              <w:t>出入口控制系统识别设备模组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8U高度，内嵌门禁常用识别系统，支持人脸识别、指纹识别、身份证识别、IC卡识别、密码识别等功能，覆盖了工程常用的出入口识别方式。支持用户数量1000人，支持面部容量400张，记录容量10万条。2.8寸高清彩屏，红外高清双摄像头，支持TCP/IP网络通讯、485信号通讯、Wiegand信号通讯，支持跨网段跨网关连接；各接线信号采用4mm香蕉插座引出。可进行识别设备的认知实训，接线实训，设备安装实训，设备调试实训等。</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2.9</w:t>
            </w:r>
          </w:p>
        </w:tc>
        <w:tc>
          <w:tcPr>
            <w:tcW w:w="1170" w:type="dxa"/>
            <w:vAlign w:val="center"/>
          </w:tcPr>
          <w:p>
            <w:pPr>
              <w:widowControl/>
              <w:jc w:val="center"/>
              <w:textAlignment w:val="center"/>
            </w:pPr>
            <w:r>
              <w:rPr>
                <w:rFonts w:hint="eastAsia" w:ascii="宋体" w:hAnsi="宋体" w:cs="宋体"/>
                <w:color w:val="000000"/>
                <w:kern w:val="0"/>
                <w:sz w:val="22"/>
                <w:szCs w:val="22"/>
                <w:lang w:bidi="ar"/>
              </w:rPr>
              <w:t>出入口控制系统管理模组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4U高度，内嵌门禁控制器，支持门锁设备、识别设备、开门按钮设备等接入，包含管理控制平台。采用32位1GHZ高速并行CPU，嵌入式Linux操作系统，支持指纹容量3000枚，卡容量3万张，记录容量10万条，支持TCP/IP网络通讯、485信号通讯、Wiegand信号通讯；各接线信号采用4mm香蕉插座引出。可进行门禁管理设备认知实训，接线实训，设备安装实训，门禁管理平台安装及调试实训，门禁管理平台运维实训等。</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2.10</w:t>
            </w:r>
          </w:p>
        </w:tc>
        <w:tc>
          <w:tcPr>
            <w:tcW w:w="1170" w:type="dxa"/>
            <w:vAlign w:val="center"/>
          </w:tcPr>
          <w:p>
            <w:pPr>
              <w:widowControl/>
              <w:jc w:val="center"/>
              <w:textAlignment w:val="center"/>
            </w:pPr>
            <w:r>
              <w:rPr>
                <w:rFonts w:hint="eastAsia" w:ascii="宋体" w:hAnsi="宋体" w:cs="宋体"/>
                <w:color w:val="000000"/>
                <w:kern w:val="0"/>
                <w:sz w:val="22"/>
                <w:szCs w:val="22"/>
                <w:lang w:bidi="ar"/>
              </w:rPr>
              <w:t>入侵报警系统前端设备模组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内嵌入侵报警系统常用传感器，支持红外识别、烟雾感应、温度感应、对射红外识别、震动感应等常用的警报信号。可进行探测器认知实训，设备接线实训，设备安装实训等。</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2.11</w:t>
            </w:r>
          </w:p>
        </w:tc>
        <w:tc>
          <w:tcPr>
            <w:tcW w:w="1170" w:type="dxa"/>
            <w:vAlign w:val="center"/>
          </w:tcPr>
          <w:p>
            <w:pPr>
              <w:widowControl/>
              <w:jc w:val="center"/>
              <w:textAlignment w:val="center"/>
            </w:pPr>
            <w:r>
              <w:rPr>
                <w:rFonts w:hint="eastAsia" w:ascii="宋体" w:hAnsi="宋体" w:cs="宋体"/>
                <w:color w:val="000000"/>
                <w:kern w:val="0"/>
                <w:sz w:val="22"/>
                <w:szCs w:val="22"/>
                <w:lang w:bidi="ar"/>
              </w:rPr>
              <w:t>入侵报警系统管理模组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4U高度，内嵌入侵控制器，支持防区探测器接入，采用TCP/IP的联网方式，包含管理控制平台。可进行入侵系统管理设备认知实训，设备接线实训，设备通电安装实训，入侵报警平台安装及调试实训，入侵报警平台运维实训等。支持本地8防区报警，支持软件平台管理、键盘操作，支持网络、电话、GPRS上传报警数据,支持8个独立子系统，支持8000条报警记录，2000条操作记录，支持主机防拆，支持报警推送、远程布撤防、消警、防区编程等功能。</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exact"/>
        </w:trPr>
        <w:tc>
          <w:tcPr>
            <w:tcW w:w="0" w:type="auto"/>
            <w:vMerge w:val="continue"/>
            <w:vAlign w:val="center"/>
          </w:tcPr>
          <w:p>
            <w:pPr>
              <w:jc w:val="center"/>
              <w:rPr>
                <w:rFonts w:ascii="黑体" w:hAnsi="黑体" w:eastAsia="黑体"/>
                <w:sz w:val="24"/>
              </w:rPr>
            </w:pPr>
          </w:p>
        </w:tc>
        <w:tc>
          <w:tcPr>
            <w:tcW w:w="681" w:type="dxa"/>
            <w:vAlign w:val="center"/>
          </w:tcPr>
          <w:p>
            <w:pPr>
              <w:spacing w:line="440" w:lineRule="exact"/>
              <w:jc w:val="center"/>
              <w:rPr>
                <w:rFonts w:hint="default"/>
                <w:lang w:val="en-US"/>
              </w:rPr>
            </w:pPr>
            <w:r>
              <w:rPr>
                <w:rFonts w:hint="eastAsia"/>
                <w:lang w:val="en-US" w:eastAsia="zh-CN"/>
              </w:rPr>
              <w:t>2.12</w:t>
            </w:r>
          </w:p>
        </w:tc>
        <w:tc>
          <w:tcPr>
            <w:tcW w:w="1170" w:type="dxa"/>
            <w:vAlign w:val="center"/>
          </w:tcPr>
          <w:p>
            <w:pPr>
              <w:widowControl/>
              <w:jc w:val="center"/>
              <w:textAlignment w:val="center"/>
            </w:pPr>
            <w:r>
              <w:rPr>
                <w:rFonts w:hint="eastAsia" w:ascii="宋体" w:hAnsi="宋体" w:cs="宋体"/>
                <w:color w:val="000000"/>
                <w:kern w:val="0"/>
                <w:sz w:val="22"/>
                <w:szCs w:val="22"/>
                <w:lang w:bidi="ar"/>
              </w:rPr>
              <w:t>接线电阻实训模组</w:t>
            </w:r>
          </w:p>
        </w:tc>
        <w:tc>
          <w:tcPr>
            <w:tcW w:w="5384" w:type="dxa"/>
            <w:vAlign w:val="center"/>
          </w:tcPr>
          <w:p>
            <w:pPr>
              <w:widowControl/>
              <w:jc w:val="left"/>
              <w:textAlignment w:val="center"/>
            </w:pPr>
            <w:r>
              <w:rPr>
                <w:rFonts w:hint="eastAsia" w:ascii="宋体" w:hAnsi="宋体" w:cs="宋体"/>
                <w:color w:val="000000"/>
                <w:kern w:val="0"/>
                <w:sz w:val="22"/>
                <w:szCs w:val="22"/>
                <w:lang w:bidi="ar"/>
              </w:rPr>
              <w:t>▲一、产品配置：标准19英寸设计，4U高度，内嵌8组电阻可选电阻，内置拨杆开关，可根据实训内容自行选择合适的电阻，支持教师根据教学需求变更内部电阻。</w:t>
            </w:r>
          </w:p>
        </w:tc>
        <w:tc>
          <w:tcPr>
            <w:tcW w:w="765" w:type="dxa"/>
            <w:vAlign w:val="center"/>
          </w:tcPr>
          <w:p>
            <w:pPr>
              <w:widowControl/>
              <w:jc w:val="center"/>
              <w:textAlignment w:val="center"/>
            </w:pPr>
            <w:r>
              <w:rPr>
                <w:rFonts w:hint="eastAsia" w:ascii="宋体" w:hAnsi="宋体" w:cs="宋体"/>
                <w:color w:val="000000"/>
                <w:kern w:val="0"/>
                <w:sz w:val="22"/>
                <w:szCs w:val="22"/>
                <w:lang w:bidi="ar"/>
              </w:rPr>
              <w:t>套</w:t>
            </w:r>
          </w:p>
        </w:tc>
        <w:tc>
          <w:tcPr>
            <w:tcW w:w="736" w:type="dxa"/>
            <w:vAlign w:val="center"/>
          </w:tcPr>
          <w:p>
            <w:pPr>
              <w:keepNext w:val="0"/>
              <w:keepLines w:val="0"/>
              <w:widowControl/>
              <w:suppressLineNumbers w:val="0"/>
              <w:jc w:val="center"/>
              <w:textAlignment w:val="center"/>
              <w:rPr>
                <w:rFonts w:hint="default" w:ascii="Calibri" w:hAnsi="Calibri" w:cs="Calibri"/>
              </w:rPr>
            </w:pPr>
            <w:r>
              <w:rPr>
                <w:rFonts w:hint="default" w:ascii="Calibri" w:hAnsi="Calibri" w:eastAsia="宋体" w:cs="Calibri"/>
                <w:i w:val="0"/>
                <w:color w:val="000000"/>
                <w:kern w:val="0"/>
                <w:sz w:val="22"/>
                <w:szCs w:val="22"/>
                <w:u w:val="none"/>
                <w:lang w:val="en-US" w:eastAsia="zh-CN" w:bidi="ar"/>
              </w:rPr>
              <w:t>1</w:t>
            </w:r>
          </w:p>
        </w:tc>
        <w:tc>
          <w:tcPr>
            <w:tcW w:w="1110" w:type="dxa"/>
            <w:vAlign w:val="center"/>
          </w:tcPr>
          <w:p>
            <w:pPr>
              <w:keepNext w:val="0"/>
              <w:keepLines w:val="0"/>
              <w:widowControl/>
              <w:suppressLineNumbers w:val="0"/>
              <w:jc w:val="center"/>
              <w:textAlignment w:val="center"/>
              <w:rPr>
                <w:rFonts w:hint="default" w:ascii="Calibri" w:hAnsi="Calibri" w:cs="Calibri"/>
              </w:rPr>
            </w:pPr>
          </w:p>
        </w:tc>
        <w:tc>
          <w:tcPr>
            <w:tcW w:w="1185" w:type="dxa"/>
            <w:vAlign w:val="center"/>
          </w:tcPr>
          <w:p>
            <w:pPr>
              <w:keepNext w:val="0"/>
              <w:keepLines w:val="0"/>
              <w:widowControl/>
              <w:suppressLineNumbers w:val="0"/>
              <w:jc w:val="center"/>
              <w:textAlignment w:val="center"/>
              <w:rPr>
                <w:rFonts w:hint="default" w:ascii="Calibri" w:hAnsi="Calibri" w:cs="Calibri"/>
              </w:rPr>
            </w:pPr>
          </w:p>
        </w:tc>
        <w:tc>
          <w:tcPr>
            <w:tcW w:w="705" w:type="dxa"/>
            <w:vAlign w:val="center"/>
          </w:tcPr>
          <w:p>
            <w:pPr>
              <w:keepNext w:val="0"/>
              <w:keepLines w:val="0"/>
              <w:widowControl/>
              <w:suppressLineNumbers w:val="0"/>
              <w:jc w:val="center"/>
              <w:textAlignment w:val="center"/>
              <w:rPr>
                <w:rFonts w:hint="default" w:ascii="Calibri" w:hAnsi="Calibri" w:cs="Calibri"/>
              </w:rPr>
            </w:pPr>
          </w:p>
        </w:tc>
        <w:tc>
          <w:tcPr>
            <w:tcW w:w="907" w:type="dxa"/>
            <w:vAlign w:val="center"/>
          </w:tcPr>
          <w:p>
            <w:pPr>
              <w:keepNext w:val="0"/>
              <w:keepLines w:val="0"/>
              <w:widowControl/>
              <w:suppressLineNumbers w:val="0"/>
              <w:jc w:val="center"/>
              <w:textAlignment w:val="cente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vMerge w:val="continue"/>
            <w:vAlign w:val="center"/>
          </w:tcPr>
          <w:p>
            <w:pPr>
              <w:jc w:val="center"/>
              <w:rPr>
                <w:rFonts w:ascii="黑体" w:hAnsi="黑体" w:eastAsia="黑体"/>
                <w:sz w:val="24"/>
              </w:rPr>
            </w:pPr>
          </w:p>
        </w:tc>
        <w:tc>
          <w:tcPr>
            <w:tcW w:w="7235" w:type="dxa"/>
            <w:gridSpan w:val="3"/>
            <w:vAlign w:val="center"/>
          </w:tcPr>
          <w:p>
            <w:pPr>
              <w:jc w:val="center"/>
              <w:rPr>
                <w:rFonts w:hint="eastAsia" w:ascii="宋体" w:hAnsi="宋体" w:eastAsia="黑体" w:cs="宋体"/>
                <w:kern w:val="0"/>
                <w:szCs w:val="21"/>
                <w:lang w:eastAsia="zh-CN"/>
              </w:rPr>
            </w:pPr>
            <w:r>
              <w:rPr>
                <w:rFonts w:hint="eastAsia" w:ascii="黑体" w:hAnsi="黑体" w:eastAsia="黑体"/>
                <w:sz w:val="24"/>
              </w:rPr>
              <w:t>总计</w:t>
            </w:r>
            <w:r>
              <w:rPr>
                <w:rFonts w:hint="eastAsia" w:ascii="黑体" w:hAnsi="黑体" w:eastAsia="黑体"/>
                <w:sz w:val="24"/>
                <w:lang w:eastAsia="zh-CN"/>
              </w:rPr>
              <w:t>：</w:t>
            </w:r>
          </w:p>
        </w:tc>
        <w:tc>
          <w:tcPr>
            <w:tcW w:w="5408" w:type="dxa"/>
            <w:gridSpan w:val="6"/>
          </w:tcPr>
          <w:p>
            <w:pPr>
              <w:spacing w:line="440" w:lineRule="exact"/>
              <w:jc w:val="center"/>
              <w:rPr>
                <w:rFonts w:hint="eastAsia" w:ascii="Calibri" w:hAnsi="Calibri" w:cs="Calibri"/>
                <w:kern w:val="0"/>
                <w:szCs w:val="21"/>
                <w:lang w:eastAsia="zh-CN"/>
              </w:rPr>
            </w:pPr>
            <w:r>
              <w:rPr>
                <w:rFonts w:hint="eastAsia" w:ascii="Calibri" w:hAnsi="Calibri" w:cs="Calibri"/>
                <w:kern w:val="0"/>
                <w:szCs w:val="21"/>
                <w:lang w:eastAsia="zh-CN"/>
              </w:rPr>
              <w:t>元</w:t>
            </w:r>
          </w:p>
        </w:tc>
      </w:tr>
    </w:tbl>
    <w:p>
      <w:pPr>
        <w:spacing w:line="240" w:lineRule="atLeast"/>
        <w:rPr>
          <w:rFonts w:hint="eastAsia" w:ascii="仿宋_GB2312" w:hAnsi="宋体" w:eastAsia="仿宋_GB2312" w:cs="宋体"/>
          <w:b/>
          <w:bCs/>
          <w:spacing w:val="-8"/>
          <w:sz w:val="32"/>
          <w:szCs w:val="32"/>
          <w:lang w:val="en-US" w:eastAsia="zh-CN"/>
        </w:rPr>
      </w:pPr>
      <w:r>
        <w:rPr>
          <w:rFonts w:hint="eastAsia" w:ascii="仿宋_GB2312" w:hAnsi="宋体" w:eastAsia="仿宋_GB2312" w:cs="宋体"/>
          <w:b/>
          <w:bCs/>
          <w:spacing w:val="-8"/>
          <w:sz w:val="32"/>
          <w:szCs w:val="32"/>
          <w:lang w:eastAsia="zh-CN"/>
        </w:rPr>
        <w:t>注：</w:t>
      </w:r>
      <w:r>
        <w:rPr>
          <w:rFonts w:hint="eastAsia" w:ascii="仿宋_GB2312" w:hAnsi="宋体" w:eastAsia="仿宋_GB2312" w:cs="宋体"/>
          <w:b/>
          <w:bCs/>
          <w:spacing w:val="-8"/>
          <w:sz w:val="32"/>
          <w:szCs w:val="32"/>
          <w:lang w:val="en-US" w:eastAsia="zh-CN"/>
        </w:rPr>
        <w:t>1、本次报价控制价为：133500元。</w:t>
      </w:r>
    </w:p>
    <w:p>
      <w:pPr>
        <w:spacing w:line="240" w:lineRule="atLeast"/>
        <w:rPr>
          <w:rFonts w:hint="eastAsia" w:ascii="仿宋_GB2312" w:hAnsi="宋体" w:eastAsia="仿宋_GB2312" w:cs="宋体"/>
          <w:b/>
          <w:bCs/>
          <w:spacing w:val="-8"/>
          <w:sz w:val="32"/>
          <w:szCs w:val="32"/>
          <w:lang w:eastAsia="zh-CN"/>
        </w:rPr>
      </w:pPr>
      <w:r>
        <w:rPr>
          <w:rFonts w:hint="eastAsia" w:ascii="仿宋_GB2312" w:hAnsi="宋体" w:eastAsia="仿宋_GB2312" w:cs="宋体"/>
          <w:b/>
          <w:bCs/>
          <w:spacing w:val="-8"/>
          <w:sz w:val="32"/>
          <w:szCs w:val="32"/>
          <w:lang w:val="en-US" w:eastAsia="zh-CN"/>
        </w:rPr>
        <w:t xml:space="preserve">    2、供应商应视为此次报价为此项目的所有费用，其他所有费用由供应商承担，请知悉！</w:t>
      </w:r>
    </w:p>
    <w:p>
      <w:pPr>
        <w:spacing w:line="320" w:lineRule="exact"/>
        <w:ind w:firstLine="160" w:firstLineChars="50"/>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采购响应供应商全称（加盖公章）：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cs="宋体"/>
          <w:sz w:val="32"/>
          <w:szCs w:val="32"/>
          <w:lang w:val="en-US" w:eastAsia="zh-CN"/>
        </w:rPr>
        <w:t xml:space="preserve">                                     </w:t>
      </w:r>
      <w:bookmarkStart w:id="0" w:name="_GoBack"/>
      <w:bookmarkEnd w:id="0"/>
      <w:r>
        <w:rPr>
          <w:rFonts w:hint="eastAsia" w:ascii="宋体" w:hAnsi="宋体" w:cs="宋体"/>
          <w:sz w:val="32"/>
          <w:szCs w:val="32"/>
          <w:lang w:val="en-US" w:eastAsia="zh-CN"/>
        </w:rPr>
        <w:t xml:space="preserve">           </w:t>
      </w:r>
      <w:r>
        <w:rPr>
          <w:rFonts w:hint="eastAsia" w:ascii="宋体" w:hAnsi="宋体" w:eastAsia="宋体" w:cs="宋体"/>
          <w:sz w:val="32"/>
          <w:szCs w:val="32"/>
        </w:rPr>
        <w:t>联系人：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 xml:space="preserve">联系方式：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pacing w:val="-8"/>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日   期：</w:t>
      </w:r>
    </w:p>
    <w:p>
      <w:pPr>
        <w:rPr>
          <w:rFonts w:hint="default"/>
          <w:lang w:val="en-US" w:eastAsia="zh-CN"/>
        </w:rPr>
      </w:pPr>
    </w:p>
    <w:sectPr>
      <w:pgSz w:w="16838" w:h="11906" w:orient="landscape"/>
      <w:pgMar w:top="1247" w:right="1417"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5F"/>
    <w:rsid w:val="00013F83"/>
    <w:rsid w:val="00270597"/>
    <w:rsid w:val="002E38D6"/>
    <w:rsid w:val="003F0126"/>
    <w:rsid w:val="003F48BF"/>
    <w:rsid w:val="0045702E"/>
    <w:rsid w:val="00476585"/>
    <w:rsid w:val="005F49D7"/>
    <w:rsid w:val="00607FB5"/>
    <w:rsid w:val="0067575F"/>
    <w:rsid w:val="00743150"/>
    <w:rsid w:val="007678BF"/>
    <w:rsid w:val="007C5A08"/>
    <w:rsid w:val="0081340C"/>
    <w:rsid w:val="0090254B"/>
    <w:rsid w:val="0091747D"/>
    <w:rsid w:val="00AE33F9"/>
    <w:rsid w:val="00B32165"/>
    <w:rsid w:val="00E271E3"/>
    <w:rsid w:val="00F1613A"/>
    <w:rsid w:val="00F35241"/>
    <w:rsid w:val="00F46313"/>
    <w:rsid w:val="00FD3498"/>
    <w:rsid w:val="17683E54"/>
    <w:rsid w:val="25BA1893"/>
    <w:rsid w:val="3654412C"/>
    <w:rsid w:val="36C27B70"/>
    <w:rsid w:val="3FAD1555"/>
    <w:rsid w:val="46602A78"/>
    <w:rsid w:val="64C11A19"/>
    <w:rsid w:val="70C7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character" w:styleId="6">
    <w:name w:val="page number"/>
    <w:basedOn w:val="5"/>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font01"/>
    <w:basedOn w:val="5"/>
    <w:qFormat/>
    <w:uiPriority w:val="0"/>
    <w:rPr>
      <w:rFonts w:hint="eastAsia" w:ascii="宋体" w:hAnsi="宋体" w:eastAsia="宋体" w:cs="宋体"/>
      <w:color w:val="000000"/>
      <w:sz w:val="22"/>
      <w:szCs w:val="22"/>
      <w:u w:val="none"/>
    </w:rPr>
  </w:style>
  <w:style w:type="character" w:customStyle="1" w:styleId="10">
    <w:name w:val="font11"/>
    <w:basedOn w:val="5"/>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412</Words>
  <Characters>2353</Characters>
  <Lines>19</Lines>
  <Paragraphs>5</Paragraphs>
  <TotalTime>36</TotalTime>
  <ScaleCrop>false</ScaleCrop>
  <LinksUpToDate>false</LinksUpToDate>
  <CharactersWithSpaces>2760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2020-06-28T08:52:00Z</dcterms:created>
  <dc:creator>kang xifeng</dc:creator>
  <cp:lastModifiedBy>陈宜祺</cp:lastModifiedBy>
  <dcterms:modified xsi:type="dcterms:W3CDTF">2021-03-04T07:16:29Z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